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EFD99" w14:textId="77777777" w:rsidR="00AD13BC" w:rsidRDefault="00000000">
      <w:pPr>
        <w:spacing w:after="120" w:line="276" w:lineRule="auto"/>
        <w:jc w:val="right"/>
        <w:rPr>
          <w:rFonts w:ascii="Calibri" w:hAnsi="Calibri" w:cs="Calibri"/>
          <w:bCs/>
          <w:sz w:val="22"/>
          <w:szCs w:val="22"/>
          <w:lang w:eastAsia="pl-PL"/>
        </w:rPr>
      </w:pPr>
      <w:r>
        <w:rPr>
          <w:rFonts w:ascii="Calibri" w:hAnsi="Calibri" w:cs="Calibri"/>
          <w:bCs/>
          <w:sz w:val="22"/>
          <w:szCs w:val="22"/>
          <w:lang w:eastAsia="pl-PL"/>
        </w:rPr>
        <w:t>Załącznik nr 1 do Zapytania ofertowego</w:t>
      </w:r>
    </w:p>
    <w:p w14:paraId="5A83B5BD" w14:textId="77777777" w:rsidR="00AD13BC" w:rsidRDefault="00000000">
      <w:pPr>
        <w:spacing w:before="240" w:after="240" w:line="276" w:lineRule="auto"/>
        <w:jc w:val="center"/>
        <w:rPr>
          <w:rFonts w:ascii="Calibri" w:hAnsi="Calibri" w:cs="Calibri"/>
          <w:b/>
          <w:bCs/>
          <w:sz w:val="22"/>
          <w:szCs w:val="22"/>
        </w:rPr>
      </w:pPr>
      <w:r>
        <w:rPr>
          <w:rFonts w:ascii="Calibri" w:hAnsi="Calibri" w:cs="Calibri"/>
          <w:b/>
          <w:bCs/>
          <w:sz w:val="22"/>
          <w:szCs w:val="22"/>
        </w:rPr>
        <w:t>OPIS PRZEDMIOTU ZAMÓWIENIA</w:t>
      </w:r>
    </w:p>
    <w:p w14:paraId="09E007BA"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Przedmiotem zamówienia jest zakup, instalacja, wdrożenie, konfiguracja oraz uruchomienie zintegrowanego systemu informatycznego wspierającego zarządzanie przedsiębiorstwem produkcyjno-handlowym wraz z przeprowadzeniem analizy przedwdrożeniowej, wykonaniem niezbędnych integracji, przygotowaniem środowisk systemowych, przeszkoleniem użytkowników oraz przekazaniem systemu do eksploatacji w środowisku produkcyjnym.</w:t>
      </w:r>
    </w:p>
    <w:p w14:paraId="72952BE8"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umożliwiać cyfryzację oraz automatyzację procesów biznesowych Zamawiającego w obszarach produkcji, logistyki, sprzedaży, finansów, kadr oraz zarządzania dokumentacją, przy zachowaniu spójności danych oraz integralności procesów pomiędzy wszystkimi obszarami funkcjonalnymi.</w:t>
      </w:r>
    </w:p>
    <w:p w14:paraId="5FC24C1B" w14:textId="77777777" w:rsidR="00AD13BC" w:rsidRDefault="00000000">
      <w:pPr>
        <w:pStyle w:val="Nagwek2"/>
        <w:numPr>
          <w:ilvl w:val="0"/>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Architektura systemu</w:t>
      </w:r>
    </w:p>
    <w:p w14:paraId="3BEE8625"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posiadać architekturę trójwarstwową obejmującą warstwę bazy danych, warstwę logiki aplikacyjnej oraz warstwę interfejsu użytkownika. Interfejs użytkownika musi być dostępny poprzez przeglądarkę internetową w standardzie HTML5. System musi udostępniać udokumentowane API REST oraz umożliwiać integrację z wykorzystaniem protokołu HTTP. Wymiana danych pomiędzy poszczególnymi obszarami systemu musi odbywać się automatycznie, bez konieczności ręcznego eksportu i importu danych.</w:t>
      </w:r>
    </w:p>
    <w:p w14:paraId="489D0737"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obsługiwać minimum 70 użytkowników pracujących równocześnie oraz umożliwiać pracę w modelu wielopodmiotowym i wielomagazynowym. System musi zapewniać możliwość skalowania zarówno w zakresie zasobów sprzętowych, jak i liczby użytkowników, w tym skalowania pionowego i poziomego. System musi umożliwiać integrację z usługą katalogową klasy LDAP lub Active Directory oraz wdrożenie odrębnych środowisk: produkcyjnego, testowego oraz szkoleniowego.</w:t>
      </w:r>
    </w:p>
    <w:p w14:paraId="4B2AB7A6" w14:textId="77777777" w:rsidR="00AD13BC" w:rsidRDefault="00000000">
      <w:pPr>
        <w:pStyle w:val="Nagwek2"/>
        <w:numPr>
          <w:ilvl w:val="0"/>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Zakres funkcjonalny systemu</w:t>
      </w:r>
    </w:p>
    <w:p w14:paraId="40D44002"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W ramach systemu wymagane jest zapewnienie funkcjonalności odpowiadających obszarom produkcja, handel i dystrybucja, gospodarka magazynowa, integracja z KSEF, kontrola jakości, praca mobilna, serwis i remonty, kadry i płace, automatyzacja wysyłek e-commerce, EDI, zabezpieczenie danych, platforma bazodanowa, stanowiących elementy jednego rozwiązania zapewniającego spójność danych oraz procesów.</w:t>
      </w:r>
    </w:p>
    <w:p w14:paraId="29A86B5D"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Handel i dystrybucja z uwzględnieniem integracji z KSEF</w:t>
      </w:r>
    </w:p>
    <w:p w14:paraId="3D2B9212"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W obszarze handlu, dystrybucji oraz finansów system musi zapewniać pełną obsługę cyklu sprzedaży od etapu ofertowania, poprzez zamówienia, dokumenty magazynowe, fakturowanie, w tym faktury pro forma, aż po rozrachunki. System musi umożliwiać generowanie faktur do wielu wydań, grupowe tworzenie dokumentów oraz obsługę sprzedaży wielowalutowej i wielooddziałowej. System musi zapewniać rozbudowaną politykę cenową obejmującą różne typy cenników, rabaty, progi sprzedaży oraz kontrolę marży minimalnej.</w:t>
      </w:r>
    </w:p>
    <w:p w14:paraId="4B8F9AB9"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System musi umożliwiać prowadzenie kartotek towarów, usług, kompletacji i opakowań zwrotnych, obsługę partii i numerów seryjnych, a także definiowanie atrybutów i kontrolę stanów minimalnych. System musi zapewniać obsługę rozrachunków, należności, zobowiązań, kompensat, operacji </w:t>
      </w:r>
      <w:r>
        <w:rPr>
          <w:rFonts w:ascii="Calibri" w:hAnsi="Calibri" w:cs="Calibri"/>
          <w:sz w:val="22"/>
          <w:szCs w:val="22"/>
        </w:rPr>
        <w:lastRenderedPageBreak/>
        <w:t xml:space="preserve">bankowych i kasowych, import wyciągów bankowych oraz integrację z </w:t>
      </w:r>
      <w:proofErr w:type="spellStart"/>
      <w:r>
        <w:rPr>
          <w:rFonts w:ascii="Calibri" w:hAnsi="Calibri" w:cs="Calibri"/>
          <w:sz w:val="22"/>
          <w:szCs w:val="22"/>
        </w:rPr>
        <w:t>KSeF</w:t>
      </w:r>
      <w:proofErr w:type="spellEnd"/>
      <w:r>
        <w:rPr>
          <w:rFonts w:ascii="Calibri" w:hAnsi="Calibri" w:cs="Calibri"/>
          <w:sz w:val="22"/>
          <w:szCs w:val="22"/>
        </w:rPr>
        <w:t xml:space="preserve"> w zakresie generowania i archiwizacji faktur elektronicznych.</w:t>
      </w:r>
    </w:p>
    <w:p w14:paraId="5F2F9168"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obejmować funkcjonalność finansowo-księgową zapewniającą prowadzenie pełnej księgowości, wielopoziomowego planu kont, automatycznej dekretacji dokumentów, rejestrów VAT i JPK, ewidencji środków trwałych oraz sprawozdawczości finansowej wraz z możliwością alokacji kosztów do MPK oraz centrów kosztów.</w:t>
      </w:r>
    </w:p>
    <w:p w14:paraId="3EEA39B1"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Zarządzanie relacjami z klientami (serwis i remonty, praca mobilna)</w:t>
      </w:r>
    </w:p>
    <w:p w14:paraId="3AB41F41"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zapewniać centralną kartotekę kontrahentów wraz z historią kontaktów, historią zakupów, obsługą wielu adresów oraz przypisaniem opiekunów handlowych. System musi umożliwiać prowadzenie procesów ofertowych, w tym wieloetapowych procesów ofertowych, tworzenie ofert wielowariantowych i wielowalutowych oraz ich konwersję do dokumentów sprzedażowych.</w:t>
      </w:r>
    </w:p>
    <w:p w14:paraId="2B1FE64B"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System musi uwzględnić również procesy związane z serwisem i remontem, w szczególności składanie przez klientów </w:t>
      </w:r>
      <w:proofErr w:type="spellStart"/>
      <w:r>
        <w:rPr>
          <w:rFonts w:ascii="Calibri" w:hAnsi="Calibri" w:cs="Calibri"/>
          <w:sz w:val="22"/>
          <w:szCs w:val="22"/>
        </w:rPr>
        <w:t>zapotrzebowań</w:t>
      </w:r>
      <w:proofErr w:type="spellEnd"/>
      <w:r>
        <w:rPr>
          <w:rFonts w:ascii="Calibri" w:hAnsi="Calibri" w:cs="Calibri"/>
          <w:sz w:val="22"/>
          <w:szCs w:val="22"/>
        </w:rPr>
        <w:t>, nadzorowanie obowiązkowych przeglądów, prowadzenie rejestru serwisów oraz zgłoszonych remontów, a także realizację zamówień na części i podzespoły oraz obsługę działań serwisowych i remontowych z poziomu systemu. System musi umożliwiać obsługę umów cyklicznych oraz zleceń serwisowych.</w:t>
      </w:r>
    </w:p>
    <w:p w14:paraId="01D29162"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umożliwiać planowanie działań handlowych, rejestrowanie aktywności, delegowanie zadań oraz prowadzenie komunikacji z wykorzystaniem poczty elektronicznej i wiadomości SMS. System musi umożliwiać pracę mobilną.</w:t>
      </w:r>
    </w:p>
    <w:p w14:paraId="062010AE"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Gospodarka magazynowa</w:t>
      </w:r>
    </w:p>
    <w:p w14:paraId="172C9FE8"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zapewniać obsługę przyjęć awizowanych i bezpośrednich, wydań jedno- i wieloetapowych, w tym zbierania, pakowania i załadunku, przesunięć międzymagazynowych oraz inwentaryzacji. System musi obsługiwać partie, numery seryjne oraz strategie zarządzania zapasami takie jak FIFO i FEFO. System musi umożliwiać generowanie etykiet logistycznych oraz integrację z automatami magazynowymi i systemami kurierskimi w celu automatyzacji wysyłek e-commerce</w:t>
      </w:r>
    </w:p>
    <w:p w14:paraId="25FF56B3"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Produkcja wraz możliwością zarządzania kontrolą jakości</w:t>
      </w:r>
    </w:p>
    <w:p w14:paraId="4FADC9EF"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System musi umożliwiać definiowanie struktur materiałowych, w tym wielopoziomowych receptur i BOM, harmonogramowanie produkcji, w tym harmonogramowanie w widoku graficznym, rejestrację czasu pracy maszyn i operatorów oraz generowanie dokumentów magazynowych związanych z produkcją, w tym dokumentów RW, PW i MM. System musi umożliwiać raportowanie efektywności produkcji, w tym wskaźnika </w:t>
      </w:r>
      <w:proofErr w:type="gramStart"/>
      <w:r>
        <w:rPr>
          <w:rFonts w:ascii="Calibri" w:hAnsi="Calibri" w:cs="Calibri"/>
          <w:sz w:val="22"/>
          <w:szCs w:val="22"/>
        </w:rPr>
        <w:t>OEE,</w:t>
      </w:r>
      <w:proofErr w:type="gramEnd"/>
      <w:r>
        <w:rPr>
          <w:rFonts w:ascii="Calibri" w:hAnsi="Calibri" w:cs="Calibri"/>
          <w:sz w:val="22"/>
          <w:szCs w:val="22"/>
        </w:rPr>
        <w:t xml:space="preserve"> oraz prowadzenie rejestru awarii i przestojów. System musi wspierać procesy zarządzania kontrolą jakości.</w:t>
      </w:r>
    </w:p>
    <w:p w14:paraId="5928C128"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Elektroniczny obieg dokumentów EDI</w:t>
      </w:r>
    </w:p>
    <w:p w14:paraId="0B871046"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System musi zapewniać rejestrację i przetwarzanie dokumentów z wykorzystaniem mechanizmów OCR, obsługę wielopoziomowych ścieżek akceptacji, </w:t>
      </w:r>
      <w:proofErr w:type="spellStart"/>
      <w:r>
        <w:rPr>
          <w:rFonts w:ascii="Calibri" w:hAnsi="Calibri" w:cs="Calibri"/>
          <w:sz w:val="22"/>
          <w:szCs w:val="22"/>
        </w:rPr>
        <w:t>workflow</w:t>
      </w:r>
      <w:proofErr w:type="spellEnd"/>
      <w:r>
        <w:rPr>
          <w:rFonts w:ascii="Calibri" w:hAnsi="Calibri" w:cs="Calibri"/>
          <w:sz w:val="22"/>
          <w:szCs w:val="22"/>
        </w:rPr>
        <w:t xml:space="preserve"> z warunkami logicznymi, kontrolę budżetową oraz repozytorium dokumentów z wersjonowaniem i historią zmian. System musi integrować się z pozostałymi obszarami systemu, w szczególności z ERP, księgowością oraz systemem kadrowym.</w:t>
      </w:r>
    </w:p>
    <w:p w14:paraId="578800C1" w14:textId="77777777" w:rsidR="00AD13BC" w:rsidRDefault="00AD13BC">
      <w:pPr>
        <w:spacing w:after="0" w:line="276" w:lineRule="auto"/>
        <w:jc w:val="both"/>
        <w:rPr>
          <w:rFonts w:ascii="Calibri" w:hAnsi="Calibri" w:cs="Calibri"/>
          <w:sz w:val="22"/>
          <w:szCs w:val="22"/>
        </w:rPr>
      </w:pPr>
    </w:p>
    <w:p w14:paraId="1791D637"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lastRenderedPageBreak/>
        <w:t>Kadry i płace</w:t>
      </w:r>
    </w:p>
    <w:p w14:paraId="50D3B740"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zapewniać prowadzenie dokumentacji pracowniczej w formie elektronicznej, w tym elektronicznych akt osobowych, ewidencję czasu pracy, obsługę umów i aneksów, naliczanie wynagrodzeń oraz realizację obowiązków wobec ZUS i organów podatkowych, w tym PPK i generowanie wymaganych deklaracji. System musi umożliwiać integrację z częścią finansowo-księgową w zakresie księgowania list płac oraz alokacji kosztów do MPK.</w:t>
      </w:r>
    </w:p>
    <w:p w14:paraId="6529DFB9"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Platforma B2B z automatyzacją wysyłek e-commerce</w:t>
      </w:r>
    </w:p>
    <w:p w14:paraId="1278B55F"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System musi umożliwiać realizację sprzedaży hurtowej online, prezentację aktualnych stanów magazynowych, w tym stanów magazynowych w czasie </w:t>
      </w:r>
      <w:proofErr w:type="gramStart"/>
      <w:r>
        <w:rPr>
          <w:rFonts w:ascii="Calibri" w:hAnsi="Calibri" w:cs="Calibri"/>
          <w:sz w:val="22"/>
          <w:szCs w:val="22"/>
        </w:rPr>
        <w:t>rzeczywistym,</w:t>
      </w:r>
      <w:proofErr w:type="gramEnd"/>
      <w:r>
        <w:rPr>
          <w:rFonts w:ascii="Calibri" w:hAnsi="Calibri" w:cs="Calibri"/>
          <w:sz w:val="22"/>
          <w:szCs w:val="22"/>
        </w:rPr>
        <w:t xml:space="preserve"> oraz składanie zamówień przez kontrahentów z automatycznym przekazywaniem ich do systemu. System musi wspierać automatyzację wysyłek e-Commerce. System musi umożliwiać stosowanie indywidualnych cenników oraz obsługę wielu użytkowników po stronie jednego kontrahenta.</w:t>
      </w:r>
    </w:p>
    <w:p w14:paraId="3BD2A5F9"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Platforma bazodanowa i infrastruktura</w:t>
      </w:r>
    </w:p>
    <w:p w14:paraId="1B361E98"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być oparty na relacyjnej bazie danych zapewniającej zgodność z zasadami ACID, integralność danych oraz mechanizmy kontroli transakcji. Platforma bazodanowa musi zapewniać pełną transakcyjność, obsługę mechanizmów blokad, izolacji transakcji oraz integralności referencyjnej danych.</w:t>
      </w:r>
    </w:p>
    <w:p w14:paraId="06407E98"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Platforma bazodanowa musi być uruchomiona w środowisku zapewniającym gwarantowane zasoby obliczeniowe oraz wysoką wydajność operacji wejścia-wyjścia, z wykorzystaniem rozwiązań klasy </w:t>
      </w:r>
      <w:proofErr w:type="spellStart"/>
      <w:r>
        <w:rPr>
          <w:rFonts w:ascii="Calibri" w:hAnsi="Calibri" w:cs="Calibri"/>
          <w:sz w:val="22"/>
          <w:szCs w:val="22"/>
        </w:rPr>
        <w:t>enterprise</w:t>
      </w:r>
      <w:proofErr w:type="spellEnd"/>
      <w:r>
        <w:rPr>
          <w:rFonts w:ascii="Calibri" w:hAnsi="Calibri" w:cs="Calibri"/>
          <w:sz w:val="22"/>
          <w:szCs w:val="22"/>
        </w:rPr>
        <w:t xml:space="preserve">, takich jak pamięci </w:t>
      </w:r>
      <w:proofErr w:type="spellStart"/>
      <w:r>
        <w:rPr>
          <w:rFonts w:ascii="Calibri" w:hAnsi="Calibri" w:cs="Calibri"/>
          <w:sz w:val="22"/>
          <w:szCs w:val="22"/>
        </w:rPr>
        <w:t>NVMe</w:t>
      </w:r>
      <w:proofErr w:type="spellEnd"/>
      <w:r>
        <w:rPr>
          <w:rFonts w:ascii="Calibri" w:hAnsi="Calibri" w:cs="Calibri"/>
          <w:sz w:val="22"/>
          <w:szCs w:val="22"/>
        </w:rPr>
        <w:t xml:space="preserve"> lub równoważne. Platforma bazodanowa powinna być uruchomiona na dedykowanej infrastrukturze serwerowej lub w wydzielonym środowisku wirtualnym o gwarantowanych zasobach CPU, RAM oraz przestrzeni dyskowej. Architektura musi eliminować współdzielenie zasobów krytycznych z innymi systemami oraz unikać dynamicznych metod przydzielania zasobów w sposób mogący wpływać na stabilność i wydajność systemu.</w:t>
      </w:r>
    </w:p>
    <w:p w14:paraId="73454ABB" w14:textId="77777777" w:rsidR="00AD13BC" w:rsidRDefault="00000000">
      <w:pPr>
        <w:pStyle w:val="Nagwek3"/>
        <w:numPr>
          <w:ilvl w:val="1"/>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Zabezpieczenie danych</w:t>
      </w:r>
    </w:p>
    <w:p w14:paraId="4450ED02"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zapewniać szyfrowanie transmisji danych, w tym z wykorzystaniem protokołów TLS/SSL, zabezpieczenie danych przechowywanych oraz stosowanie mechanizmów kontroli dostępu. Dane przechowywane w systemie muszą być zabezpieczone poprzez mechanizmy szyfrowania danych w spoczynku na poziomie bazy danych lub systemu plików. W przypadku komunikacji między modułami systemu wymagane jest stosowanie szyfrowanych połączeń wewnętrznych.</w:t>
      </w:r>
    </w:p>
    <w:p w14:paraId="6FA12FFA"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umożliwiać uwierzytelnianie użytkowników z wykorzystaniem usług katalogowych oraz zarządzanie uprawnieniami w oparciu o role. Dostęp do systemu musi wymagać użycia unikalnego identyfikatora użytkownika oraz hasła. Hasła muszą podlegać polityce bezpieczeństwa obejmującej minimalną długość, wymóg złożoności, możliwość okresowej zmiany oraz blokadę konta po określonej liczbie nieudanych prób logowania. System musi umożliwiać integrację z usługą katalogową klasy Active Directory lub równoważną w celu centralnego zarządzania użytkownikami i uwierzytelnianiem.</w:t>
      </w:r>
    </w:p>
    <w:p w14:paraId="15BA8A40"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umożliwiać ograniczenie dostępu do określonych sieci oraz stosowanie bezpiecznych mechanizmów dostępu zdalnego. System musi umożliwiać konfigurację dostępu wyłącznie z sieci wewnętrznej Zamawiającego, ograniczenie dostępu poprzez mechanizmy zapory sieciowej oraz filtrowanie adresów IP. W przypadku dostępu zdalnego wymagane jest zastosowanie bezpiecznego tunelu VPN lub rozwiązania równoważnego.</w:t>
      </w:r>
    </w:p>
    <w:p w14:paraId="3056799D"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lastRenderedPageBreak/>
        <w:t>System musi prowadzić rejestr zdarzeń obejmujący logowania oraz operacje wykonywane przez użytkowników, w tym tworzenie, modyfikację i usuwanie danych oraz zmiany konfiguracji systemu. Rejestry zdarzeń muszą być przechowywane w sposób uniemożliwiający ich nieautoryzowaną modyfikację.</w:t>
      </w:r>
    </w:p>
    <w:p w14:paraId="00845701"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System musi spełniać wymagania wynikające z przepisów o ochronie danych osobowych, w tym </w:t>
      </w:r>
      <w:proofErr w:type="gramStart"/>
      <w:r>
        <w:rPr>
          <w:rFonts w:ascii="Calibri" w:hAnsi="Calibri" w:cs="Calibri"/>
          <w:sz w:val="22"/>
          <w:szCs w:val="22"/>
        </w:rPr>
        <w:t>RODO,</w:t>
      </w:r>
      <w:proofErr w:type="gramEnd"/>
      <w:r>
        <w:rPr>
          <w:rFonts w:ascii="Calibri" w:hAnsi="Calibri" w:cs="Calibri"/>
          <w:sz w:val="22"/>
          <w:szCs w:val="22"/>
        </w:rPr>
        <w:t xml:space="preserve"> oraz umożliwiać realizację polityki kopii zapasowych. System musi umożliwiać </w:t>
      </w:r>
      <w:proofErr w:type="spellStart"/>
      <w:r>
        <w:rPr>
          <w:rFonts w:ascii="Calibri" w:hAnsi="Calibri" w:cs="Calibri"/>
          <w:sz w:val="22"/>
          <w:szCs w:val="22"/>
        </w:rPr>
        <w:t>anonimizację</w:t>
      </w:r>
      <w:proofErr w:type="spellEnd"/>
      <w:r>
        <w:rPr>
          <w:rFonts w:ascii="Calibri" w:hAnsi="Calibri" w:cs="Calibri"/>
          <w:sz w:val="22"/>
          <w:szCs w:val="22"/>
        </w:rPr>
        <w:t xml:space="preserve"> lub </w:t>
      </w:r>
      <w:proofErr w:type="spellStart"/>
      <w:r>
        <w:rPr>
          <w:rFonts w:ascii="Calibri" w:hAnsi="Calibri" w:cs="Calibri"/>
          <w:sz w:val="22"/>
          <w:szCs w:val="22"/>
        </w:rPr>
        <w:t>pseudonimizację</w:t>
      </w:r>
      <w:proofErr w:type="spellEnd"/>
      <w:r>
        <w:rPr>
          <w:rFonts w:ascii="Calibri" w:hAnsi="Calibri" w:cs="Calibri"/>
          <w:sz w:val="22"/>
          <w:szCs w:val="22"/>
        </w:rPr>
        <w:t xml:space="preserve"> danych, jeżeli wymagają tego przepisy prawa.</w:t>
      </w:r>
    </w:p>
    <w:p w14:paraId="700A621B" w14:textId="77777777" w:rsidR="00AD13BC" w:rsidRDefault="00000000">
      <w:pPr>
        <w:pStyle w:val="Nagwek2"/>
        <w:numPr>
          <w:ilvl w:val="0"/>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Analiza przedwdrożeniowa</w:t>
      </w:r>
    </w:p>
    <w:p w14:paraId="59628E1C"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Wykonawca zobowiązany jest do przeprowadzenia analizy obejmującej identyfikację procesów biznesowych, mapowanie ich na funkcjonalność systemu, identyfikację integracji pomiędzy obszarami systemu, analizę ryzyka oraz przygotowanie harmonogramu wdrożenia. Wyniki analizy muszą zostać zatwierdzone przez Zamawiającego przed rozpoczęciem prac wdrożeniowych. Wyniki analizy muszą zostać udokumentowane w formie dokumentu zatwierdzonego przez Zamawiającego przed rozpoczęciem właściwego wdrożenia.</w:t>
      </w:r>
    </w:p>
    <w:p w14:paraId="34F2A78E" w14:textId="77777777" w:rsidR="00AD13BC" w:rsidRDefault="00000000">
      <w:pPr>
        <w:pStyle w:val="Nagwek2"/>
        <w:numPr>
          <w:ilvl w:val="0"/>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Stabilizacja, odbiór i gwarancja</w:t>
      </w:r>
    </w:p>
    <w:p w14:paraId="5C12D531" w14:textId="77777777" w:rsidR="00AD13BC" w:rsidRDefault="00000000">
      <w:pPr>
        <w:pStyle w:val="Akapitzlist"/>
        <w:numPr>
          <w:ilvl w:val="1"/>
          <w:numId w:val="6"/>
        </w:numPr>
        <w:spacing w:before="240" w:after="120" w:line="276" w:lineRule="auto"/>
        <w:ind w:left="426" w:hanging="426"/>
        <w:contextualSpacing w:val="0"/>
        <w:jc w:val="both"/>
        <w:rPr>
          <w:rFonts w:ascii="Calibri" w:hAnsi="Calibri" w:cs="Calibri"/>
          <w:b/>
          <w:color w:val="0F4761" w:themeColor="accent1" w:themeShade="BF"/>
          <w:sz w:val="22"/>
          <w:szCs w:val="22"/>
        </w:rPr>
      </w:pPr>
      <w:r>
        <w:rPr>
          <w:rFonts w:ascii="Calibri" w:hAnsi="Calibri" w:cs="Calibri"/>
          <w:b/>
          <w:color w:val="0F4761" w:themeColor="accent1" w:themeShade="BF"/>
          <w:sz w:val="22"/>
          <w:szCs w:val="22"/>
        </w:rPr>
        <w:t>Stabilizacja</w:t>
      </w:r>
    </w:p>
    <w:p w14:paraId="59899423"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Po uruchomieniu środowiska produkcyjnego obowiązuje okres stabilizacji trwający minimum 30 dni, w którym Wykonawca zobowiązany jest do bieżącego usuwania błędów bez dodatkowych kosztów. Okres stabilizacji obejmuje usuwanie błędów funkcjonalnych, wydajnościowych oraz integracyjnych ujawnionych podczas eksploatacji systemu w rzeczywistym środowisku pracy Zamawiającego.</w:t>
      </w:r>
    </w:p>
    <w:p w14:paraId="0E04ECAB" w14:textId="77777777" w:rsidR="00AD13BC" w:rsidRDefault="00000000">
      <w:pPr>
        <w:pStyle w:val="Akapitzlist"/>
        <w:numPr>
          <w:ilvl w:val="1"/>
          <w:numId w:val="6"/>
        </w:numPr>
        <w:spacing w:before="240" w:after="120" w:line="276" w:lineRule="auto"/>
        <w:ind w:left="426" w:hanging="426"/>
        <w:contextualSpacing w:val="0"/>
        <w:jc w:val="both"/>
        <w:rPr>
          <w:rFonts w:ascii="Calibri" w:hAnsi="Calibri" w:cs="Calibri"/>
          <w:b/>
          <w:color w:val="0F4761" w:themeColor="accent1" w:themeShade="BF"/>
          <w:sz w:val="22"/>
          <w:szCs w:val="22"/>
        </w:rPr>
      </w:pPr>
      <w:r>
        <w:rPr>
          <w:rFonts w:ascii="Calibri" w:hAnsi="Calibri" w:cs="Calibri"/>
          <w:b/>
          <w:color w:val="0F4761" w:themeColor="accent1" w:themeShade="BF"/>
          <w:sz w:val="22"/>
          <w:szCs w:val="22"/>
        </w:rPr>
        <w:t>Odbiór</w:t>
      </w:r>
    </w:p>
    <w:p w14:paraId="6DF80973"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Odbiór systemu następuje po zakończeniu wdrożenia oraz pozytywnym przeprowadzeniu testów funkcjonalnych i integracyjnych.</w:t>
      </w:r>
    </w:p>
    <w:p w14:paraId="5F8F7CDB"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Odbiór zostaje potwierdzony podpisaniem protokołu odbioru przez osobę wskazaną przez Zamawiającego.</w:t>
      </w:r>
    </w:p>
    <w:p w14:paraId="1EB5D5F9"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Osoba uprawniona do podpisania protokołu odbioru zostanie wskazana przez Zamawiającego w formie pisemnej przed rozpoczęciem etapu odbiorowego.</w:t>
      </w:r>
    </w:p>
    <w:p w14:paraId="40DE60F6"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Warunkiem podpisania protokołu odbioru jest:</w:t>
      </w:r>
    </w:p>
    <w:p w14:paraId="2E3A9D5A" w14:textId="77777777" w:rsidR="00AD13BC" w:rsidRDefault="00000000">
      <w:pPr>
        <w:pStyle w:val="Akapitzlist"/>
        <w:numPr>
          <w:ilvl w:val="0"/>
          <w:numId w:val="3"/>
        </w:numPr>
        <w:spacing w:after="0" w:line="276" w:lineRule="auto"/>
        <w:contextualSpacing w:val="0"/>
        <w:jc w:val="both"/>
        <w:rPr>
          <w:rFonts w:ascii="Calibri" w:hAnsi="Calibri" w:cs="Calibri"/>
          <w:sz w:val="22"/>
          <w:szCs w:val="22"/>
        </w:rPr>
      </w:pPr>
      <w:r>
        <w:rPr>
          <w:rFonts w:ascii="Calibri" w:hAnsi="Calibri" w:cs="Calibri"/>
          <w:sz w:val="22"/>
          <w:szCs w:val="22"/>
        </w:rPr>
        <w:t>uruchomienie środowiska produkcyjnego,</w:t>
      </w:r>
    </w:p>
    <w:p w14:paraId="19B35353" w14:textId="77777777" w:rsidR="00AD13BC" w:rsidRDefault="00000000">
      <w:pPr>
        <w:pStyle w:val="Akapitzlist"/>
        <w:numPr>
          <w:ilvl w:val="0"/>
          <w:numId w:val="3"/>
        </w:numPr>
        <w:spacing w:after="0" w:line="276" w:lineRule="auto"/>
        <w:contextualSpacing w:val="0"/>
        <w:jc w:val="both"/>
        <w:rPr>
          <w:rFonts w:ascii="Calibri" w:hAnsi="Calibri" w:cs="Calibri"/>
          <w:sz w:val="22"/>
          <w:szCs w:val="22"/>
        </w:rPr>
      </w:pPr>
      <w:r>
        <w:rPr>
          <w:rFonts w:ascii="Calibri" w:hAnsi="Calibri" w:cs="Calibri"/>
          <w:sz w:val="22"/>
          <w:szCs w:val="22"/>
        </w:rPr>
        <w:t>potwierdzenie poprawnego działania kluczowych funkcjonalności,</w:t>
      </w:r>
    </w:p>
    <w:p w14:paraId="0F905186" w14:textId="77777777" w:rsidR="00AD13BC" w:rsidRDefault="00000000">
      <w:pPr>
        <w:pStyle w:val="Akapitzlist"/>
        <w:numPr>
          <w:ilvl w:val="0"/>
          <w:numId w:val="3"/>
        </w:numPr>
        <w:spacing w:after="0" w:line="276" w:lineRule="auto"/>
        <w:contextualSpacing w:val="0"/>
        <w:jc w:val="both"/>
        <w:rPr>
          <w:rFonts w:ascii="Calibri" w:hAnsi="Calibri" w:cs="Calibri"/>
          <w:sz w:val="22"/>
          <w:szCs w:val="22"/>
        </w:rPr>
      </w:pPr>
      <w:r>
        <w:rPr>
          <w:rFonts w:ascii="Calibri" w:hAnsi="Calibri" w:cs="Calibri"/>
          <w:sz w:val="22"/>
          <w:szCs w:val="22"/>
        </w:rPr>
        <w:t>brak błędów krytycznych (Poziom 1),</w:t>
      </w:r>
    </w:p>
    <w:p w14:paraId="2E944843" w14:textId="77777777" w:rsidR="00AD13BC" w:rsidRDefault="00000000">
      <w:pPr>
        <w:pStyle w:val="Akapitzlist"/>
        <w:numPr>
          <w:ilvl w:val="0"/>
          <w:numId w:val="3"/>
        </w:numPr>
        <w:spacing w:after="0" w:line="276" w:lineRule="auto"/>
        <w:contextualSpacing w:val="0"/>
        <w:jc w:val="both"/>
        <w:rPr>
          <w:rFonts w:ascii="Calibri" w:hAnsi="Calibri" w:cs="Calibri"/>
          <w:sz w:val="22"/>
          <w:szCs w:val="22"/>
        </w:rPr>
      </w:pPr>
      <w:r>
        <w:rPr>
          <w:rFonts w:ascii="Calibri" w:hAnsi="Calibri" w:cs="Calibri"/>
          <w:sz w:val="22"/>
          <w:szCs w:val="22"/>
        </w:rPr>
        <w:t>przekazanie dokumentacji powdrożeniowej.</w:t>
      </w:r>
    </w:p>
    <w:p w14:paraId="09A5103B"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W przypadku stwierdzenia błędów krytycznych Zamawiający ma prawo odmówić podpisania protokołu do czasu ich usunięcia.</w:t>
      </w:r>
    </w:p>
    <w:p w14:paraId="1C6C4B67" w14:textId="77777777" w:rsidR="00AD13BC" w:rsidRDefault="00000000">
      <w:pPr>
        <w:pStyle w:val="Akapitzlist"/>
        <w:numPr>
          <w:ilvl w:val="1"/>
          <w:numId w:val="6"/>
        </w:numPr>
        <w:spacing w:before="240" w:after="120" w:line="276" w:lineRule="auto"/>
        <w:ind w:left="426" w:hanging="426"/>
        <w:contextualSpacing w:val="0"/>
        <w:jc w:val="both"/>
        <w:rPr>
          <w:rFonts w:ascii="Calibri" w:hAnsi="Calibri" w:cs="Calibri"/>
          <w:b/>
          <w:color w:val="0F4761" w:themeColor="accent1" w:themeShade="BF"/>
          <w:sz w:val="22"/>
          <w:szCs w:val="22"/>
        </w:rPr>
      </w:pPr>
      <w:r>
        <w:rPr>
          <w:rFonts w:ascii="Calibri" w:hAnsi="Calibri" w:cs="Calibri"/>
          <w:b/>
          <w:color w:val="0F4761" w:themeColor="accent1" w:themeShade="BF"/>
          <w:sz w:val="22"/>
          <w:szCs w:val="22"/>
        </w:rPr>
        <w:t>Gwarancja</w:t>
      </w:r>
    </w:p>
    <w:p w14:paraId="01956917" w14:textId="77777777" w:rsidR="00AD13BC" w:rsidRDefault="00000000">
      <w:pPr>
        <w:pStyle w:val="Akapitzlist"/>
        <w:widowControl w:val="0"/>
        <w:numPr>
          <w:ilvl w:val="0"/>
          <w:numId w:val="7"/>
        </w:numPr>
        <w:suppressAutoHyphens w:val="0"/>
        <w:spacing w:after="0" w:line="276" w:lineRule="auto"/>
        <w:ind w:left="426"/>
        <w:jc w:val="both"/>
        <w:rPr>
          <w:rFonts w:ascii="Calibri" w:hAnsi="Calibri" w:cs="Calibri"/>
          <w:sz w:val="22"/>
          <w:szCs w:val="22"/>
        </w:rPr>
      </w:pPr>
      <w:r>
        <w:rPr>
          <w:rFonts w:ascii="Calibri" w:hAnsi="Calibri" w:cs="Calibri"/>
          <w:b/>
          <w:bCs/>
          <w:sz w:val="22"/>
          <w:szCs w:val="22"/>
        </w:rPr>
        <w:t xml:space="preserve">Okres gwarancji wynosi minimum 16 miesięcy </w:t>
      </w:r>
      <w:r>
        <w:rPr>
          <w:rFonts w:ascii="Calibri" w:hAnsi="Calibri" w:cs="Calibri"/>
          <w:sz w:val="22"/>
          <w:szCs w:val="22"/>
        </w:rPr>
        <w:t>od pozytywnego odbioru potwierdzonego protokołem przekazania. Okres stabilizacji poprzedza okres gwarancji.</w:t>
      </w:r>
    </w:p>
    <w:p w14:paraId="5BED5372" w14:textId="77777777" w:rsidR="00AD13BC" w:rsidRDefault="00000000">
      <w:pPr>
        <w:pStyle w:val="Akapitzlist"/>
        <w:widowControl w:val="0"/>
        <w:numPr>
          <w:ilvl w:val="0"/>
          <w:numId w:val="7"/>
        </w:numPr>
        <w:suppressAutoHyphens w:val="0"/>
        <w:spacing w:after="0" w:line="276" w:lineRule="auto"/>
        <w:ind w:left="426"/>
        <w:jc w:val="both"/>
        <w:rPr>
          <w:rFonts w:ascii="Calibri" w:hAnsi="Calibri" w:cs="Calibri"/>
          <w:sz w:val="22"/>
          <w:szCs w:val="22"/>
        </w:rPr>
      </w:pPr>
      <w:r>
        <w:rPr>
          <w:rFonts w:ascii="Calibri" w:hAnsi="Calibri" w:cs="Calibri"/>
          <w:sz w:val="22"/>
          <w:szCs w:val="22"/>
        </w:rPr>
        <w:t xml:space="preserve">Okres gwarancji </w:t>
      </w:r>
      <w:r>
        <w:rPr>
          <w:rFonts w:ascii="Calibri" w:hAnsi="Calibri" w:cs="Calibri"/>
          <w:bCs/>
          <w:sz w:val="22"/>
          <w:szCs w:val="22"/>
        </w:rPr>
        <w:t>obejmuje</w:t>
      </w:r>
      <w:r>
        <w:rPr>
          <w:rFonts w:ascii="Calibri" w:hAnsi="Calibri" w:cs="Calibri"/>
          <w:sz w:val="22"/>
          <w:szCs w:val="22"/>
        </w:rPr>
        <w:t xml:space="preserve"> usuwanie błędów systemowych, w tym błędów krytycznych, istotnych </w:t>
      </w:r>
      <w:r>
        <w:rPr>
          <w:rFonts w:ascii="Calibri" w:hAnsi="Calibri" w:cs="Calibri"/>
          <w:sz w:val="22"/>
          <w:szCs w:val="22"/>
        </w:rPr>
        <w:lastRenderedPageBreak/>
        <w:t>oraz pozostałych, przywrócenie pełnej funkcjonalności systemu, utrzymanie poprawności działania integracji, modyfikacji oraz dostosowanie systemu do zmian przepisów prawa.</w:t>
      </w:r>
    </w:p>
    <w:p w14:paraId="3AA7302E" w14:textId="77777777" w:rsidR="00AD13BC" w:rsidRDefault="00000000">
      <w:pPr>
        <w:pStyle w:val="Akapitzlist"/>
        <w:widowControl w:val="0"/>
        <w:numPr>
          <w:ilvl w:val="0"/>
          <w:numId w:val="7"/>
        </w:numPr>
        <w:suppressAutoHyphens w:val="0"/>
        <w:spacing w:after="0" w:line="276" w:lineRule="auto"/>
        <w:ind w:left="426"/>
        <w:jc w:val="both"/>
        <w:rPr>
          <w:rFonts w:ascii="Calibri" w:hAnsi="Calibri" w:cs="Calibri"/>
          <w:sz w:val="22"/>
          <w:szCs w:val="22"/>
        </w:rPr>
      </w:pPr>
      <w:r>
        <w:rPr>
          <w:rFonts w:ascii="Calibri" w:hAnsi="Calibri" w:cs="Calibri"/>
          <w:sz w:val="22"/>
          <w:szCs w:val="22"/>
        </w:rPr>
        <w:t>Gwarancja obejmuje wszystkie modyfikacje, rozszerzenia i dostosowania wykonane w ramach realizacji zamówienia, w tym: dedykowane funkcjonalności, zmiany konfiguracyjne, rozszerzenia raportowe, integracje z systemami zewnętrznymi.</w:t>
      </w:r>
    </w:p>
    <w:p w14:paraId="3AF02C01" w14:textId="77777777" w:rsidR="00AD13BC" w:rsidRDefault="00000000">
      <w:pPr>
        <w:pStyle w:val="Akapitzlist"/>
        <w:widowControl w:val="0"/>
        <w:numPr>
          <w:ilvl w:val="0"/>
          <w:numId w:val="7"/>
        </w:numPr>
        <w:suppressAutoHyphens w:val="0"/>
        <w:spacing w:after="0" w:line="276" w:lineRule="auto"/>
        <w:ind w:left="426"/>
        <w:jc w:val="both"/>
        <w:rPr>
          <w:rFonts w:ascii="Calibri" w:hAnsi="Calibri" w:cs="Calibri"/>
          <w:sz w:val="22"/>
          <w:szCs w:val="22"/>
        </w:rPr>
      </w:pPr>
      <w:r>
        <w:rPr>
          <w:rFonts w:ascii="Calibri" w:hAnsi="Calibri" w:cs="Calibri"/>
          <w:sz w:val="22"/>
          <w:szCs w:val="22"/>
        </w:rPr>
        <w:t>Wykonawca nie może wyłączyć spod gwarancji elementów wykonanych w ramach projektu. Gwarancja obejmuje prawidłowe działanie integracji pomiędzy:</w:t>
      </w:r>
    </w:p>
    <w:p w14:paraId="2AD4ED4B"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ERP,</w:t>
      </w:r>
    </w:p>
    <w:p w14:paraId="45A0224C"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WMS,</w:t>
      </w:r>
    </w:p>
    <w:p w14:paraId="2B50A576"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MES,</w:t>
      </w:r>
    </w:p>
    <w:p w14:paraId="4FE87044"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EOD,</w:t>
      </w:r>
    </w:p>
    <w:p w14:paraId="2327B6B9"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systemem księgowym,</w:t>
      </w:r>
    </w:p>
    <w:p w14:paraId="45999EC3"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systemem kadrowo-płacowym,</w:t>
      </w:r>
    </w:p>
    <w:p w14:paraId="316C8A97"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platformą B2B,</w:t>
      </w:r>
    </w:p>
    <w:p w14:paraId="2C0D7DFA" w14:textId="77777777" w:rsidR="00AD13BC" w:rsidRDefault="00000000">
      <w:pPr>
        <w:pStyle w:val="Akapitzlist"/>
        <w:numPr>
          <w:ilvl w:val="0"/>
          <w:numId w:val="4"/>
        </w:numPr>
        <w:spacing w:after="0" w:line="276" w:lineRule="auto"/>
        <w:contextualSpacing w:val="0"/>
        <w:jc w:val="both"/>
        <w:rPr>
          <w:rFonts w:ascii="Calibri" w:hAnsi="Calibri" w:cs="Calibri"/>
          <w:sz w:val="22"/>
          <w:szCs w:val="22"/>
        </w:rPr>
      </w:pPr>
      <w:r>
        <w:rPr>
          <w:rFonts w:ascii="Calibri" w:hAnsi="Calibri" w:cs="Calibri"/>
          <w:sz w:val="22"/>
          <w:szCs w:val="22"/>
        </w:rPr>
        <w:t>innymi systemami wdrożonymi w ramach projektu.</w:t>
      </w:r>
    </w:p>
    <w:p w14:paraId="1CA69F5D" w14:textId="77777777" w:rsidR="00AD13BC" w:rsidRDefault="00000000">
      <w:pPr>
        <w:pStyle w:val="Akapitzlist"/>
        <w:widowControl w:val="0"/>
        <w:numPr>
          <w:ilvl w:val="0"/>
          <w:numId w:val="7"/>
        </w:numPr>
        <w:suppressAutoHyphens w:val="0"/>
        <w:spacing w:after="0" w:line="276" w:lineRule="auto"/>
        <w:ind w:left="426"/>
        <w:jc w:val="both"/>
        <w:rPr>
          <w:rFonts w:ascii="Calibri" w:hAnsi="Calibri" w:cs="Calibri"/>
          <w:sz w:val="22"/>
          <w:szCs w:val="22"/>
        </w:rPr>
      </w:pPr>
      <w:r>
        <w:rPr>
          <w:rFonts w:ascii="Calibri" w:hAnsi="Calibri" w:cs="Calibri"/>
          <w:sz w:val="22"/>
          <w:szCs w:val="22"/>
        </w:rPr>
        <w:t xml:space="preserve">W przypadku nieprawidłowego działania integracji Wykonawca zobowiązany jest do ich naprawy bez dodatkowego wynagrodzenia. </w:t>
      </w:r>
    </w:p>
    <w:p w14:paraId="3F3C6776" w14:textId="77777777" w:rsidR="00AD13BC" w:rsidRDefault="00000000">
      <w:pPr>
        <w:pStyle w:val="Akapitzlist"/>
        <w:widowControl w:val="0"/>
        <w:numPr>
          <w:ilvl w:val="0"/>
          <w:numId w:val="7"/>
        </w:numPr>
        <w:suppressAutoHyphens w:val="0"/>
        <w:spacing w:after="0" w:line="276" w:lineRule="auto"/>
        <w:ind w:left="426"/>
        <w:jc w:val="both"/>
        <w:rPr>
          <w:rFonts w:ascii="Calibri" w:hAnsi="Calibri" w:cs="Calibri"/>
          <w:sz w:val="22"/>
          <w:szCs w:val="22"/>
        </w:rPr>
      </w:pPr>
      <w:r>
        <w:rPr>
          <w:rFonts w:ascii="Calibri" w:hAnsi="Calibri" w:cs="Calibri"/>
          <w:sz w:val="22"/>
          <w:szCs w:val="22"/>
        </w:rPr>
        <w:t xml:space="preserve">W okresie gwarancji Wykonawca zobowiązany jest do zapewnienia aktualizacji systemu wynikających ze zmian przepisów prawa, w szczególności w zakresie podatków, księgowości, kadr i płac, raportowania ustawowego, </w:t>
      </w:r>
      <w:proofErr w:type="spellStart"/>
      <w:r>
        <w:rPr>
          <w:rFonts w:ascii="Calibri" w:hAnsi="Calibri" w:cs="Calibri"/>
          <w:sz w:val="22"/>
          <w:szCs w:val="22"/>
        </w:rPr>
        <w:t>KSeF</w:t>
      </w:r>
      <w:proofErr w:type="spellEnd"/>
      <w:r>
        <w:rPr>
          <w:rFonts w:ascii="Calibri" w:hAnsi="Calibri" w:cs="Calibri"/>
          <w:sz w:val="22"/>
          <w:szCs w:val="22"/>
        </w:rPr>
        <w:t xml:space="preserve"> oraz innych systemów państwowych. Aktualizacje prawne w okresie gwarancji nie mogą stanowić podstawy do naliczenia dodatkowych opłat.</w:t>
      </w:r>
    </w:p>
    <w:p w14:paraId="0B59E7F2" w14:textId="77777777" w:rsidR="00AD13BC" w:rsidRDefault="00000000">
      <w:pPr>
        <w:pStyle w:val="Akapitzlist"/>
        <w:widowControl w:val="0"/>
        <w:numPr>
          <w:ilvl w:val="0"/>
          <w:numId w:val="7"/>
        </w:numPr>
        <w:suppressAutoHyphens w:val="0"/>
        <w:spacing w:after="0" w:line="276" w:lineRule="auto"/>
        <w:ind w:left="426"/>
        <w:jc w:val="both"/>
        <w:rPr>
          <w:rFonts w:ascii="Calibri" w:hAnsi="Calibri" w:cs="Calibri"/>
          <w:sz w:val="22"/>
          <w:szCs w:val="22"/>
        </w:rPr>
      </w:pPr>
      <w:r>
        <w:rPr>
          <w:rFonts w:ascii="Calibri" w:hAnsi="Calibri" w:cs="Calibri"/>
          <w:sz w:val="22"/>
          <w:szCs w:val="22"/>
        </w:rPr>
        <w:t>Gwarancja nie może być uzależniona od wykupienia dodatkowego pakietu aktualizacyjnego lub rozszerzonego SLA.</w:t>
      </w:r>
    </w:p>
    <w:p w14:paraId="1323ECBC" w14:textId="77777777" w:rsidR="00AD13BC" w:rsidRDefault="00000000">
      <w:pPr>
        <w:pStyle w:val="Nagwek2"/>
        <w:numPr>
          <w:ilvl w:val="0"/>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Warunki licencyjne</w:t>
      </w:r>
    </w:p>
    <w:p w14:paraId="643D9627"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System musi być dostarczony w modelu licencji bezterminowej. Licencja musi mieć charakter bezterminowy i obejmować pełne prawo do użytkowania systemu w zakresie objętym zamówieniem.</w:t>
      </w:r>
    </w:p>
    <w:p w14:paraId="29B6364D"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Licencja nie może być uzależniona od liczby użytkowników, a możliwość rozbudowy systemu musi wynikać wyłącznie z parametrów infrastruktury technicznej. Skalowanie liczby użytkowników systemu musi być uzależnione wyłącznie od parametrów infrastruktury technicznej, a nie od konieczności dokupowania dodatkowych licencji użytkowników.</w:t>
      </w:r>
    </w:p>
    <w:p w14:paraId="4E4E0389"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System musi umożliwiać obsługę wielu podmiotów w ramach jednej instalacji bez konieczności ponoszenia dodatkowych opłat licencyjnych za każdy kolejny podmiot. </w:t>
      </w:r>
      <w:proofErr w:type="spellStart"/>
      <w:r>
        <w:rPr>
          <w:rFonts w:ascii="Calibri" w:hAnsi="Calibri" w:cs="Calibri"/>
          <w:sz w:val="22"/>
          <w:szCs w:val="22"/>
        </w:rPr>
        <w:t>Wielopodmiotowość</w:t>
      </w:r>
      <w:proofErr w:type="spellEnd"/>
      <w:r>
        <w:rPr>
          <w:rFonts w:ascii="Calibri" w:hAnsi="Calibri" w:cs="Calibri"/>
          <w:sz w:val="22"/>
          <w:szCs w:val="22"/>
        </w:rPr>
        <w:t xml:space="preserve"> musi być funkcjonalnością natywną systemu, a nie rozwiązaniem realizowanym poprzez odrębne, niezależne instalacje systemu.</w:t>
      </w:r>
    </w:p>
    <w:p w14:paraId="21EA7743"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 xml:space="preserve">Wykonawca zobowiązany jest jednoznacznie wskazać w ofercie, czy cena obejmuje pełną </w:t>
      </w:r>
      <w:proofErr w:type="spellStart"/>
      <w:r>
        <w:rPr>
          <w:rFonts w:ascii="Calibri" w:hAnsi="Calibri" w:cs="Calibri"/>
          <w:sz w:val="22"/>
          <w:szCs w:val="22"/>
        </w:rPr>
        <w:t>wielopodmiotowość</w:t>
      </w:r>
      <w:proofErr w:type="spellEnd"/>
      <w:r>
        <w:rPr>
          <w:rFonts w:ascii="Calibri" w:hAnsi="Calibri" w:cs="Calibri"/>
          <w:sz w:val="22"/>
          <w:szCs w:val="22"/>
        </w:rPr>
        <w:t xml:space="preserve">, maksymalną liczbę podmiotów objętych ceną oraz koszt rozszerzenia w przypadku przekroczenia tej liczby, o ile dotyczy. </w:t>
      </w:r>
      <w:proofErr w:type="spellStart"/>
      <w:r>
        <w:rPr>
          <w:rFonts w:ascii="Calibri" w:hAnsi="Calibri" w:cs="Calibri"/>
          <w:sz w:val="22"/>
          <w:szCs w:val="22"/>
        </w:rPr>
        <w:t>Wielopodmiotowość</w:t>
      </w:r>
      <w:proofErr w:type="spellEnd"/>
      <w:r>
        <w:rPr>
          <w:rFonts w:ascii="Calibri" w:hAnsi="Calibri" w:cs="Calibri"/>
          <w:sz w:val="22"/>
          <w:szCs w:val="22"/>
        </w:rPr>
        <w:t xml:space="preserve"> musi być uwzględniona w cenie ofertowej jako element wyceny podstawowej, a nie jako opcjonalne rozszerzenie.</w:t>
      </w:r>
    </w:p>
    <w:p w14:paraId="3AEE0CAC" w14:textId="77777777" w:rsidR="00AD13BC" w:rsidRDefault="00000000">
      <w:pPr>
        <w:pStyle w:val="Nagwek2"/>
        <w:numPr>
          <w:ilvl w:val="0"/>
          <w:numId w:val="6"/>
        </w:numPr>
        <w:spacing w:before="240" w:after="120" w:line="276" w:lineRule="auto"/>
        <w:ind w:left="425" w:hanging="425"/>
        <w:jc w:val="both"/>
        <w:rPr>
          <w:rFonts w:ascii="Calibri" w:hAnsi="Calibri" w:cs="Calibri"/>
          <w:b/>
          <w:sz w:val="22"/>
          <w:szCs w:val="22"/>
        </w:rPr>
      </w:pPr>
      <w:r>
        <w:rPr>
          <w:rFonts w:ascii="Calibri" w:hAnsi="Calibri" w:cs="Calibri"/>
          <w:b/>
          <w:sz w:val="22"/>
          <w:szCs w:val="22"/>
        </w:rPr>
        <w:t>Aktualizacje systemu</w:t>
      </w:r>
    </w:p>
    <w:p w14:paraId="5968F953"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Wykonawca zobowiązany jest do przedstawienia w ofercie jednoznacznego kosztu aktualizacji systemu, wyrażonego jako koszt miesięczny oraz/lub koszt roczny (jeżeli model rozliczeniowy tego wymaga).</w:t>
      </w:r>
    </w:p>
    <w:p w14:paraId="2B31D300"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Cena aktualizacji musi zostać wskazana odrębnie od ceny wdrożenia oraz od ceny wsparcia (SLA).</w:t>
      </w:r>
    </w:p>
    <w:p w14:paraId="3178656B"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lastRenderedPageBreak/>
        <w:t>Aktualizacja systemu musi obejmować:</w:t>
      </w:r>
    </w:p>
    <w:p w14:paraId="72D7791C" w14:textId="77777777" w:rsidR="00AD13BC" w:rsidRDefault="00000000">
      <w:pPr>
        <w:pStyle w:val="Akapitzlist"/>
        <w:numPr>
          <w:ilvl w:val="0"/>
          <w:numId w:val="1"/>
        </w:numPr>
        <w:spacing w:after="0" w:line="276" w:lineRule="auto"/>
        <w:contextualSpacing w:val="0"/>
        <w:jc w:val="both"/>
        <w:rPr>
          <w:rFonts w:ascii="Calibri" w:hAnsi="Calibri" w:cs="Calibri"/>
          <w:sz w:val="22"/>
          <w:szCs w:val="22"/>
        </w:rPr>
      </w:pPr>
      <w:r>
        <w:rPr>
          <w:rFonts w:ascii="Calibri" w:hAnsi="Calibri" w:cs="Calibri"/>
          <w:sz w:val="22"/>
          <w:szCs w:val="22"/>
        </w:rPr>
        <w:t>aktualizacje wynikające ze zmian przepisów prawa,</w:t>
      </w:r>
    </w:p>
    <w:p w14:paraId="4F4E0CB3" w14:textId="77777777" w:rsidR="00AD13BC" w:rsidRDefault="00000000">
      <w:pPr>
        <w:pStyle w:val="Akapitzlist"/>
        <w:numPr>
          <w:ilvl w:val="0"/>
          <w:numId w:val="1"/>
        </w:numPr>
        <w:spacing w:after="0" w:line="276" w:lineRule="auto"/>
        <w:contextualSpacing w:val="0"/>
        <w:jc w:val="both"/>
        <w:rPr>
          <w:rFonts w:ascii="Calibri" w:hAnsi="Calibri" w:cs="Calibri"/>
          <w:sz w:val="22"/>
          <w:szCs w:val="22"/>
        </w:rPr>
      </w:pPr>
      <w:r>
        <w:rPr>
          <w:rFonts w:ascii="Calibri" w:hAnsi="Calibri" w:cs="Calibri"/>
          <w:sz w:val="22"/>
          <w:szCs w:val="22"/>
        </w:rPr>
        <w:t>aktualizacje bezpieczeństwa,</w:t>
      </w:r>
    </w:p>
    <w:p w14:paraId="004A0DAA" w14:textId="77777777" w:rsidR="00AD13BC" w:rsidRDefault="00000000">
      <w:pPr>
        <w:pStyle w:val="Akapitzlist"/>
        <w:numPr>
          <w:ilvl w:val="0"/>
          <w:numId w:val="1"/>
        </w:numPr>
        <w:spacing w:after="0" w:line="276" w:lineRule="auto"/>
        <w:contextualSpacing w:val="0"/>
        <w:jc w:val="both"/>
        <w:rPr>
          <w:rFonts w:ascii="Calibri" w:hAnsi="Calibri" w:cs="Calibri"/>
          <w:sz w:val="22"/>
          <w:szCs w:val="22"/>
        </w:rPr>
      </w:pPr>
      <w:r>
        <w:rPr>
          <w:rFonts w:ascii="Calibri" w:hAnsi="Calibri" w:cs="Calibri"/>
          <w:sz w:val="22"/>
          <w:szCs w:val="22"/>
        </w:rPr>
        <w:t>poprawki błędów systemowych,</w:t>
      </w:r>
    </w:p>
    <w:p w14:paraId="33FAF60B" w14:textId="77777777" w:rsidR="00AD13BC" w:rsidRDefault="00000000">
      <w:pPr>
        <w:pStyle w:val="Akapitzlist"/>
        <w:numPr>
          <w:ilvl w:val="0"/>
          <w:numId w:val="1"/>
        </w:numPr>
        <w:spacing w:after="0" w:line="276" w:lineRule="auto"/>
        <w:contextualSpacing w:val="0"/>
        <w:jc w:val="both"/>
        <w:rPr>
          <w:rFonts w:ascii="Calibri" w:hAnsi="Calibri" w:cs="Calibri"/>
          <w:sz w:val="22"/>
          <w:szCs w:val="22"/>
        </w:rPr>
      </w:pPr>
      <w:r>
        <w:rPr>
          <w:rFonts w:ascii="Calibri" w:hAnsi="Calibri" w:cs="Calibri"/>
          <w:sz w:val="22"/>
          <w:szCs w:val="22"/>
        </w:rPr>
        <w:t>rozwój funkcjonalny w ramach zakupionej licencji,</w:t>
      </w:r>
    </w:p>
    <w:p w14:paraId="3DBDE22F" w14:textId="77777777" w:rsidR="00AD13BC" w:rsidRDefault="00000000">
      <w:pPr>
        <w:pStyle w:val="Akapitzlist"/>
        <w:numPr>
          <w:ilvl w:val="0"/>
          <w:numId w:val="1"/>
        </w:numPr>
        <w:spacing w:after="0" w:line="276" w:lineRule="auto"/>
        <w:contextualSpacing w:val="0"/>
        <w:jc w:val="both"/>
        <w:rPr>
          <w:rFonts w:ascii="Calibri" w:hAnsi="Calibri" w:cs="Calibri"/>
          <w:sz w:val="22"/>
          <w:szCs w:val="22"/>
        </w:rPr>
      </w:pPr>
      <w:r>
        <w:rPr>
          <w:rFonts w:ascii="Calibri" w:hAnsi="Calibri" w:cs="Calibri"/>
          <w:sz w:val="22"/>
          <w:szCs w:val="22"/>
        </w:rPr>
        <w:t>zapewnienie kompatybilności z aktualnymi wersjami systemów operacyjnych i baz danych.</w:t>
      </w:r>
    </w:p>
    <w:p w14:paraId="389AF34D" w14:textId="77777777" w:rsidR="00AD13BC" w:rsidRDefault="00000000">
      <w:pPr>
        <w:pStyle w:val="Akapitzlist"/>
        <w:numPr>
          <w:ilvl w:val="0"/>
          <w:numId w:val="1"/>
        </w:numPr>
        <w:spacing w:after="0" w:line="276" w:lineRule="auto"/>
        <w:contextualSpacing w:val="0"/>
        <w:jc w:val="both"/>
        <w:rPr>
          <w:rFonts w:ascii="Calibri" w:hAnsi="Calibri" w:cs="Calibri"/>
          <w:sz w:val="22"/>
          <w:szCs w:val="22"/>
        </w:rPr>
      </w:pPr>
      <w:r>
        <w:rPr>
          <w:rFonts w:ascii="Calibri" w:hAnsi="Calibri" w:cs="Calibri"/>
          <w:sz w:val="22"/>
          <w:szCs w:val="22"/>
        </w:rPr>
        <w:t>Aktualizacje nie mogą powodować utraty ani ograniczenia funkcjonalności systemu objętych przedmiotem zamówienia, opisanych w OPZ i wdrożonych w ramach realizacji projektu.</w:t>
      </w:r>
    </w:p>
    <w:p w14:paraId="2B749CBA"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Obowiązek zapewnienia kompatybilności oraz poprawnego działania w wyniku aktualizacji nie obejmuje funkcjonalności dedykowanych, wytworzonych na indywidualne zamówienie Zamawiającego po odbiorze końcowym projektu, chyba że strony odrębnie uzgodnią ich objęcie usługą utrzymania lub aktualizacji.</w:t>
      </w:r>
    </w:p>
    <w:p w14:paraId="33AD578C"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W przypadku modelu subskrypcyjnego Wykonawca zobowiązany jest jednoznacznie określić, czy aktualizacje są elementem abonamentu, czy stanowią odrębną pozycję kosztową.</w:t>
      </w:r>
    </w:p>
    <w:p w14:paraId="1C0476BF" w14:textId="77777777" w:rsidR="00AD13BC" w:rsidRDefault="00000000">
      <w:pPr>
        <w:spacing w:after="0" w:line="276" w:lineRule="auto"/>
        <w:jc w:val="both"/>
        <w:rPr>
          <w:rFonts w:ascii="Calibri" w:hAnsi="Calibri" w:cs="Calibri"/>
          <w:sz w:val="22"/>
          <w:szCs w:val="22"/>
        </w:rPr>
      </w:pPr>
      <w:r>
        <w:rPr>
          <w:rFonts w:ascii="Calibri" w:hAnsi="Calibri" w:cs="Calibri"/>
          <w:sz w:val="22"/>
          <w:szCs w:val="22"/>
        </w:rPr>
        <w:t>Niedopuszczalne jest uzależnienie możliwości korzystania z systemu od wykupienia aktualizacji.</w:t>
      </w:r>
    </w:p>
    <w:p w14:paraId="724C2B8A" w14:textId="77777777" w:rsidR="00AD13BC" w:rsidRPr="00181931" w:rsidRDefault="00000000">
      <w:pPr>
        <w:spacing w:after="0" w:line="276" w:lineRule="auto"/>
        <w:jc w:val="both"/>
        <w:rPr>
          <w:rFonts w:ascii="Calibri" w:hAnsi="Calibri" w:cs="Calibri"/>
          <w:sz w:val="22"/>
          <w:szCs w:val="22"/>
        </w:rPr>
      </w:pPr>
      <w:r>
        <w:rPr>
          <w:rFonts w:ascii="Calibri" w:hAnsi="Calibri" w:cs="Calibri"/>
          <w:sz w:val="22"/>
          <w:szCs w:val="22"/>
        </w:rPr>
        <w:t xml:space="preserve">Brak opłaty aktualizacyjnej nie może skutkować blokadą dostępu do systemu ani ograniczeniem jego </w:t>
      </w:r>
      <w:r w:rsidRPr="00181931">
        <w:rPr>
          <w:rFonts w:ascii="Calibri" w:hAnsi="Calibri" w:cs="Calibri"/>
          <w:sz w:val="22"/>
          <w:szCs w:val="22"/>
        </w:rPr>
        <w:t>funkcjonalności w zakresie nabytej licencji.</w:t>
      </w:r>
    </w:p>
    <w:p w14:paraId="6F2F4923" w14:textId="64FD9DC4" w:rsidR="00AD13BC" w:rsidRPr="00181931" w:rsidRDefault="008867DE">
      <w:pPr>
        <w:pStyle w:val="Nagwek2"/>
        <w:numPr>
          <w:ilvl w:val="0"/>
          <w:numId w:val="6"/>
        </w:numPr>
        <w:spacing w:before="240" w:after="120" w:line="276" w:lineRule="auto"/>
        <w:ind w:left="425" w:hanging="425"/>
        <w:jc w:val="both"/>
        <w:rPr>
          <w:rFonts w:ascii="Calibri" w:hAnsi="Calibri" w:cs="Calibri"/>
          <w:b/>
          <w:color w:val="auto"/>
          <w:sz w:val="22"/>
          <w:szCs w:val="22"/>
        </w:rPr>
      </w:pPr>
      <w:r w:rsidRPr="00181931">
        <w:rPr>
          <w:rFonts w:ascii="Calibri" w:hAnsi="Calibri" w:cs="Calibri"/>
          <w:b/>
          <w:color w:val="auto"/>
          <w:sz w:val="22"/>
          <w:szCs w:val="22"/>
        </w:rPr>
        <w:t>SLA - Oferent może przedstawić propozycję świadczenia usług w modelu SLA.</w:t>
      </w:r>
      <w:r w:rsidR="00851412" w:rsidRPr="00181931">
        <w:rPr>
          <w:rFonts w:ascii="Calibri" w:hAnsi="Calibri" w:cs="Calibri"/>
          <w:b/>
          <w:color w:val="auto"/>
          <w:sz w:val="22"/>
          <w:szCs w:val="22"/>
        </w:rPr>
        <w:t xml:space="preserve"> </w:t>
      </w:r>
    </w:p>
    <w:p w14:paraId="7C961671" w14:textId="12578C44" w:rsidR="008867DE" w:rsidRPr="00181931" w:rsidRDefault="008867DE" w:rsidP="008867DE">
      <w:pPr>
        <w:pStyle w:val="Akapitzlist"/>
        <w:numPr>
          <w:ilvl w:val="0"/>
          <w:numId w:val="8"/>
        </w:numPr>
        <w:spacing w:after="0" w:line="276" w:lineRule="auto"/>
        <w:ind w:left="426"/>
        <w:jc w:val="both"/>
        <w:rPr>
          <w:rFonts w:ascii="Calibri" w:hAnsi="Calibri" w:cs="Calibri"/>
          <w:sz w:val="22"/>
          <w:szCs w:val="22"/>
        </w:rPr>
      </w:pPr>
      <w:r w:rsidRPr="00181931">
        <w:rPr>
          <w:rFonts w:ascii="Calibri" w:hAnsi="Calibri" w:cs="Calibri"/>
          <w:sz w:val="22"/>
          <w:szCs w:val="22"/>
        </w:rPr>
        <w:t>W przypadku złożenia propozycji SLA Wykonawca zobowiązany jest do wskazania jednoznacznego kosztu SLA jako miesięcznego wynagrodzenia netto, wraz z podaniem całkowitego kosztu oraz okresu świadczenia.</w:t>
      </w:r>
    </w:p>
    <w:p w14:paraId="24E7E0AB" w14:textId="77777777" w:rsidR="008867DE" w:rsidRPr="00181931" w:rsidRDefault="008867DE" w:rsidP="008867DE">
      <w:pPr>
        <w:pStyle w:val="Akapitzlist"/>
        <w:numPr>
          <w:ilvl w:val="0"/>
          <w:numId w:val="8"/>
        </w:numPr>
        <w:spacing w:after="0" w:line="276" w:lineRule="auto"/>
        <w:ind w:left="426"/>
        <w:jc w:val="both"/>
        <w:rPr>
          <w:rFonts w:ascii="Calibri" w:hAnsi="Calibri" w:cs="Calibri"/>
          <w:sz w:val="22"/>
          <w:szCs w:val="22"/>
        </w:rPr>
      </w:pPr>
      <w:r w:rsidRPr="00181931">
        <w:rPr>
          <w:rFonts w:ascii="Calibri" w:hAnsi="Calibri" w:cs="Calibri"/>
          <w:sz w:val="22"/>
          <w:szCs w:val="22"/>
        </w:rPr>
        <w:t xml:space="preserve">Cena SLA powinna zostać wskazana odrębnie od: kosztu licencji, kosztu wdrożenia, kosztu infrastruktury oraz kosztu ewentualnych usług dodatkowych. </w:t>
      </w:r>
    </w:p>
    <w:p w14:paraId="6EA2BE16" w14:textId="77777777" w:rsidR="008867DE" w:rsidRPr="00181931" w:rsidRDefault="008867DE" w:rsidP="008867DE">
      <w:pPr>
        <w:pStyle w:val="Akapitzlist"/>
        <w:numPr>
          <w:ilvl w:val="0"/>
          <w:numId w:val="8"/>
        </w:numPr>
        <w:spacing w:after="0" w:line="276" w:lineRule="auto"/>
        <w:ind w:left="426"/>
        <w:jc w:val="both"/>
        <w:rPr>
          <w:rFonts w:ascii="Calibri" w:hAnsi="Calibri" w:cs="Calibri"/>
          <w:sz w:val="22"/>
          <w:szCs w:val="22"/>
        </w:rPr>
      </w:pPr>
      <w:r w:rsidRPr="00181931">
        <w:rPr>
          <w:rFonts w:ascii="Calibri" w:hAnsi="Calibri" w:cs="Calibri"/>
          <w:sz w:val="22"/>
          <w:szCs w:val="22"/>
        </w:rPr>
        <w:t xml:space="preserve">W przypadku przedstawienia SLA Wykonawca określa warunki jego świadczenia, w szczególności dostępność usług oraz zasady obsługi zgłoszeń, przy czym dopuszcza się wskazanie modelu dostępności obejmującego dni robocze oraz dni wolne w rozszerzonym przedziale godzinowym, wraz z uwzględnieniem czasu przeznaczonego na usuwanie błędów w ramach wynagrodzenia abonamentowego. </w:t>
      </w:r>
    </w:p>
    <w:p w14:paraId="111CD3EB" w14:textId="77777777" w:rsidR="00AD13BC" w:rsidRPr="00181931" w:rsidRDefault="00000000">
      <w:pPr>
        <w:pStyle w:val="Nagwek2"/>
        <w:numPr>
          <w:ilvl w:val="0"/>
          <w:numId w:val="6"/>
        </w:numPr>
        <w:spacing w:before="240" w:after="120" w:line="276" w:lineRule="auto"/>
        <w:ind w:left="425" w:hanging="425"/>
        <w:jc w:val="both"/>
        <w:rPr>
          <w:rFonts w:ascii="Calibri" w:hAnsi="Calibri" w:cs="Calibri"/>
          <w:b/>
          <w:color w:val="auto"/>
          <w:sz w:val="22"/>
          <w:szCs w:val="22"/>
        </w:rPr>
      </w:pPr>
      <w:r w:rsidRPr="00181931">
        <w:rPr>
          <w:rFonts w:ascii="Calibri" w:hAnsi="Calibri" w:cs="Calibri"/>
          <w:b/>
          <w:color w:val="auto"/>
          <w:sz w:val="22"/>
          <w:szCs w:val="22"/>
        </w:rPr>
        <w:t>Pakiety rozwojowe</w:t>
      </w:r>
    </w:p>
    <w:p w14:paraId="43577D20" w14:textId="23353F18" w:rsidR="00AD13BC" w:rsidRPr="00181931" w:rsidRDefault="00D027F0">
      <w:pPr>
        <w:spacing w:after="0" w:line="276" w:lineRule="auto"/>
        <w:jc w:val="both"/>
        <w:rPr>
          <w:rFonts w:ascii="Calibri" w:hAnsi="Calibri" w:cs="Calibri"/>
          <w:sz w:val="22"/>
          <w:szCs w:val="22"/>
        </w:rPr>
      </w:pPr>
      <w:r w:rsidRPr="00181931">
        <w:rPr>
          <w:rFonts w:ascii="Calibri" w:eastAsiaTheme="majorEastAsia" w:hAnsi="Calibri" w:cs="Calibri"/>
          <w:sz w:val="22"/>
          <w:szCs w:val="22"/>
        </w:rPr>
        <w:t>Wykonawca może – według własnego uznania – przedstawić wraz z ofertą propozycję pakietów</w:t>
      </w:r>
      <w:r w:rsidRPr="00181931">
        <w:rPr>
          <w:rFonts w:ascii="Calibri" w:hAnsi="Calibri" w:cs="Calibri"/>
          <w:sz w:val="22"/>
          <w:szCs w:val="22"/>
        </w:rPr>
        <w:t xml:space="preserve"> </w:t>
      </w:r>
      <w:r w:rsidRPr="00181931">
        <w:rPr>
          <w:rFonts w:ascii="Calibri" w:eastAsiaTheme="majorEastAsia" w:hAnsi="Calibri" w:cs="Calibri"/>
          <w:sz w:val="22"/>
          <w:szCs w:val="22"/>
        </w:rPr>
        <w:t xml:space="preserve">rozwojowych systemu obejmujących prace programistyczne, konfiguracyjne, integracyjne oraz graficzne wykonywane na zlecenie Zamawiającego po uruchomieniu systemu </w:t>
      </w:r>
      <w:r w:rsidR="006F4DD8" w:rsidRPr="00181931">
        <w:t xml:space="preserve"> </w:t>
      </w:r>
      <w:r w:rsidR="006F4DD8" w:rsidRPr="00181931">
        <w:rPr>
          <w:rFonts w:ascii="Calibri" w:hAnsi="Calibri" w:cs="Calibri"/>
          <w:sz w:val="22"/>
          <w:szCs w:val="22"/>
        </w:rPr>
        <w:t xml:space="preserve">W przypadku przedstawienia pakietów rozwojowych powinny one zostać zaprezentowane w sposób umożliwiający porównanie ofert, tj. w jednolitej strukturze obejmującej liczbę godzin, cenę jednostkową oraz warunki realizacji. </w:t>
      </w:r>
      <w:r w:rsidRPr="00181931">
        <w:rPr>
          <w:rFonts w:ascii="Calibri" w:eastAsiaTheme="majorEastAsia" w:hAnsi="Calibri" w:cs="Calibri"/>
          <w:sz w:val="22"/>
          <w:szCs w:val="22"/>
        </w:rPr>
        <w:t>produkcyjnego Wykonawca</w:t>
      </w:r>
      <w:r w:rsidRPr="00181931">
        <w:rPr>
          <w:rFonts w:ascii="Calibri" w:hAnsi="Calibri" w:cs="Calibri"/>
          <w:sz w:val="22"/>
          <w:szCs w:val="22"/>
        </w:rPr>
        <w:t xml:space="preserve"> zobowiązany jest przedstawić propozycje wariantów pakietów rozwojowych z uwzględnieniem co najmniej następujących wariantów pakietów miesięcznych:</w:t>
      </w:r>
    </w:p>
    <w:p w14:paraId="0E680E3E" w14:textId="77777777" w:rsidR="00AD13BC" w:rsidRPr="00181931" w:rsidRDefault="00000000">
      <w:pPr>
        <w:pStyle w:val="Akapitzlist"/>
        <w:numPr>
          <w:ilvl w:val="0"/>
          <w:numId w:val="2"/>
        </w:numPr>
        <w:spacing w:after="0" w:line="276" w:lineRule="auto"/>
        <w:contextualSpacing w:val="0"/>
        <w:jc w:val="both"/>
        <w:rPr>
          <w:rFonts w:ascii="Calibri" w:hAnsi="Calibri" w:cs="Calibri"/>
          <w:sz w:val="22"/>
          <w:szCs w:val="22"/>
        </w:rPr>
      </w:pPr>
      <w:r w:rsidRPr="00181931">
        <w:rPr>
          <w:rFonts w:ascii="Calibri" w:hAnsi="Calibri" w:cs="Calibri"/>
          <w:sz w:val="22"/>
          <w:szCs w:val="22"/>
        </w:rPr>
        <w:t>pakiet do 10 godzin miesięcznie,</w:t>
      </w:r>
    </w:p>
    <w:p w14:paraId="48F71D4A" w14:textId="77777777" w:rsidR="00AD13BC" w:rsidRPr="00181931" w:rsidRDefault="00000000">
      <w:pPr>
        <w:pStyle w:val="Akapitzlist"/>
        <w:numPr>
          <w:ilvl w:val="0"/>
          <w:numId w:val="2"/>
        </w:numPr>
        <w:spacing w:after="0" w:line="276" w:lineRule="auto"/>
        <w:contextualSpacing w:val="0"/>
        <w:jc w:val="both"/>
        <w:rPr>
          <w:rFonts w:ascii="Calibri" w:hAnsi="Calibri" w:cs="Calibri"/>
          <w:sz w:val="22"/>
          <w:szCs w:val="22"/>
        </w:rPr>
      </w:pPr>
      <w:r w:rsidRPr="00181931">
        <w:rPr>
          <w:rFonts w:ascii="Calibri" w:hAnsi="Calibri" w:cs="Calibri"/>
          <w:sz w:val="22"/>
          <w:szCs w:val="22"/>
        </w:rPr>
        <w:t>pakiet od 11 do 100 godzin miesięcznie,</w:t>
      </w:r>
    </w:p>
    <w:p w14:paraId="4B2B85A3" w14:textId="77777777" w:rsidR="00AD13BC" w:rsidRPr="00181931" w:rsidRDefault="00000000">
      <w:pPr>
        <w:pStyle w:val="Akapitzlist"/>
        <w:numPr>
          <w:ilvl w:val="0"/>
          <w:numId w:val="2"/>
        </w:numPr>
        <w:spacing w:after="0" w:line="276" w:lineRule="auto"/>
        <w:contextualSpacing w:val="0"/>
        <w:jc w:val="both"/>
        <w:rPr>
          <w:rFonts w:ascii="Calibri" w:hAnsi="Calibri" w:cs="Calibri"/>
          <w:sz w:val="22"/>
          <w:szCs w:val="22"/>
        </w:rPr>
      </w:pPr>
      <w:r w:rsidRPr="00181931">
        <w:rPr>
          <w:rFonts w:ascii="Calibri" w:hAnsi="Calibri" w:cs="Calibri"/>
          <w:sz w:val="22"/>
          <w:szCs w:val="22"/>
        </w:rPr>
        <w:t>pakiet powyżej 101 godzin miesięcznie.</w:t>
      </w:r>
    </w:p>
    <w:p w14:paraId="5FB28B50" w14:textId="77777777" w:rsidR="00AD13BC" w:rsidRPr="00181931" w:rsidRDefault="00000000">
      <w:pPr>
        <w:spacing w:after="0" w:line="276" w:lineRule="auto"/>
        <w:jc w:val="both"/>
        <w:rPr>
          <w:rFonts w:ascii="Calibri" w:hAnsi="Calibri" w:cs="Calibri"/>
          <w:sz w:val="22"/>
          <w:szCs w:val="22"/>
        </w:rPr>
      </w:pPr>
      <w:r w:rsidRPr="00181931">
        <w:rPr>
          <w:rFonts w:ascii="Calibri" w:hAnsi="Calibri" w:cs="Calibri"/>
          <w:sz w:val="22"/>
          <w:szCs w:val="22"/>
        </w:rPr>
        <w:t>Pakiet do 10 godzin miesięcznie obejmuje określoną liczbę roboczogodzin do wykorzystania w miesiącu kalendarzowym.</w:t>
      </w:r>
    </w:p>
    <w:p w14:paraId="5F9778BE" w14:textId="77777777" w:rsidR="00AD13BC" w:rsidRPr="00181931" w:rsidRDefault="00000000">
      <w:pPr>
        <w:spacing w:after="0" w:line="276" w:lineRule="auto"/>
        <w:jc w:val="both"/>
        <w:rPr>
          <w:rFonts w:ascii="Calibri" w:hAnsi="Calibri" w:cs="Calibri"/>
          <w:sz w:val="22"/>
          <w:szCs w:val="22"/>
        </w:rPr>
      </w:pPr>
      <w:r w:rsidRPr="00181931">
        <w:rPr>
          <w:rFonts w:ascii="Calibri" w:hAnsi="Calibri" w:cs="Calibri"/>
          <w:sz w:val="22"/>
          <w:szCs w:val="22"/>
        </w:rPr>
        <w:t>Pakiet od 11 do 100 godzin miesięcznie stanowi pakiet o zwiększonym limicie roboczogodzin.</w:t>
      </w:r>
    </w:p>
    <w:p w14:paraId="50FFF474" w14:textId="77777777" w:rsidR="00AD13BC" w:rsidRPr="00181931" w:rsidRDefault="00000000">
      <w:pPr>
        <w:spacing w:after="0" w:line="276" w:lineRule="auto"/>
        <w:jc w:val="both"/>
        <w:rPr>
          <w:rFonts w:ascii="Calibri" w:hAnsi="Calibri" w:cs="Calibri"/>
          <w:sz w:val="22"/>
          <w:szCs w:val="22"/>
        </w:rPr>
      </w:pPr>
      <w:r w:rsidRPr="00181931">
        <w:rPr>
          <w:rFonts w:ascii="Calibri" w:hAnsi="Calibri" w:cs="Calibri"/>
          <w:sz w:val="22"/>
          <w:szCs w:val="22"/>
        </w:rPr>
        <w:lastRenderedPageBreak/>
        <w:t>Pakiet powyżej 101 godzin miesięcznie stanowi pakiet dedykowany dla rozbudowanych prac rozwojowych.</w:t>
      </w:r>
    </w:p>
    <w:p w14:paraId="0651E168" w14:textId="77777777" w:rsidR="00AD13BC" w:rsidRPr="00181931" w:rsidRDefault="00000000">
      <w:pPr>
        <w:spacing w:after="0" w:line="276" w:lineRule="auto"/>
        <w:jc w:val="both"/>
        <w:rPr>
          <w:rFonts w:ascii="Calibri" w:hAnsi="Calibri" w:cs="Calibri"/>
          <w:sz w:val="22"/>
          <w:szCs w:val="22"/>
        </w:rPr>
      </w:pPr>
      <w:r w:rsidRPr="00181931">
        <w:rPr>
          <w:rFonts w:ascii="Calibri" w:hAnsi="Calibri" w:cs="Calibri"/>
          <w:sz w:val="22"/>
          <w:szCs w:val="22"/>
        </w:rPr>
        <w:t>Dla każdego pakietu Wykonawca musi wskazać:</w:t>
      </w:r>
    </w:p>
    <w:p w14:paraId="0E410F67" w14:textId="77777777" w:rsidR="00AD13BC" w:rsidRPr="00181931" w:rsidRDefault="00000000">
      <w:pPr>
        <w:pStyle w:val="Akapitzlist"/>
        <w:numPr>
          <w:ilvl w:val="0"/>
          <w:numId w:val="9"/>
        </w:numPr>
        <w:spacing w:after="0" w:line="276" w:lineRule="auto"/>
        <w:ind w:left="426"/>
        <w:jc w:val="both"/>
        <w:rPr>
          <w:rFonts w:ascii="Calibri" w:hAnsi="Calibri" w:cs="Calibri"/>
          <w:sz w:val="22"/>
          <w:szCs w:val="22"/>
        </w:rPr>
      </w:pPr>
      <w:r w:rsidRPr="00181931">
        <w:rPr>
          <w:rFonts w:ascii="Calibri" w:hAnsi="Calibri" w:cs="Calibri"/>
          <w:sz w:val="22"/>
          <w:szCs w:val="22"/>
        </w:rPr>
        <w:t xml:space="preserve">cenę netto pakietu, </w:t>
      </w:r>
    </w:p>
    <w:p w14:paraId="70F893DE" w14:textId="77777777" w:rsidR="00AD13BC" w:rsidRPr="00181931" w:rsidRDefault="00000000">
      <w:pPr>
        <w:pStyle w:val="Akapitzlist"/>
        <w:numPr>
          <w:ilvl w:val="0"/>
          <w:numId w:val="9"/>
        </w:numPr>
        <w:spacing w:after="0" w:line="276" w:lineRule="auto"/>
        <w:ind w:left="426"/>
        <w:jc w:val="both"/>
        <w:rPr>
          <w:rFonts w:ascii="Calibri" w:hAnsi="Calibri" w:cs="Calibri"/>
          <w:sz w:val="22"/>
          <w:szCs w:val="22"/>
        </w:rPr>
      </w:pPr>
      <w:r w:rsidRPr="00181931">
        <w:rPr>
          <w:rFonts w:ascii="Calibri" w:hAnsi="Calibri" w:cs="Calibri"/>
          <w:sz w:val="22"/>
          <w:szCs w:val="22"/>
        </w:rPr>
        <w:t xml:space="preserve">efektywną cenę jednostkową za 1 roboczogodzinę, </w:t>
      </w:r>
    </w:p>
    <w:p w14:paraId="0B4DA75C" w14:textId="77777777" w:rsidR="00AD13BC" w:rsidRPr="00181931" w:rsidRDefault="00000000">
      <w:pPr>
        <w:pStyle w:val="Akapitzlist"/>
        <w:numPr>
          <w:ilvl w:val="0"/>
          <w:numId w:val="9"/>
        </w:numPr>
        <w:spacing w:after="0" w:line="276" w:lineRule="auto"/>
        <w:ind w:left="426"/>
        <w:jc w:val="both"/>
        <w:rPr>
          <w:rFonts w:ascii="Calibri" w:hAnsi="Calibri" w:cs="Calibri"/>
          <w:sz w:val="22"/>
          <w:szCs w:val="22"/>
        </w:rPr>
      </w:pPr>
      <w:r w:rsidRPr="00181931">
        <w:rPr>
          <w:rFonts w:ascii="Calibri" w:hAnsi="Calibri" w:cs="Calibri"/>
          <w:sz w:val="22"/>
          <w:szCs w:val="22"/>
        </w:rPr>
        <w:t xml:space="preserve">sposób rozliczania niewykorzystanych godzin, </w:t>
      </w:r>
    </w:p>
    <w:p w14:paraId="3D1A23B4" w14:textId="77777777" w:rsidR="00AD13BC" w:rsidRPr="00181931" w:rsidRDefault="00000000">
      <w:pPr>
        <w:pStyle w:val="Akapitzlist"/>
        <w:numPr>
          <w:ilvl w:val="0"/>
          <w:numId w:val="9"/>
        </w:numPr>
        <w:spacing w:after="0" w:line="276" w:lineRule="auto"/>
        <w:ind w:left="426"/>
        <w:jc w:val="both"/>
        <w:rPr>
          <w:rFonts w:ascii="Calibri" w:hAnsi="Calibri" w:cs="Calibri"/>
          <w:sz w:val="22"/>
          <w:szCs w:val="22"/>
        </w:rPr>
      </w:pPr>
      <w:r w:rsidRPr="00181931">
        <w:rPr>
          <w:rFonts w:ascii="Calibri" w:hAnsi="Calibri" w:cs="Calibri"/>
          <w:sz w:val="22"/>
          <w:szCs w:val="22"/>
        </w:rPr>
        <w:t xml:space="preserve">warunki rozszerzenia pakietu w trakcie trwania umowy, </w:t>
      </w:r>
    </w:p>
    <w:p w14:paraId="2ED87B78" w14:textId="77777777" w:rsidR="00AD13BC" w:rsidRPr="00181931" w:rsidRDefault="00000000">
      <w:pPr>
        <w:pStyle w:val="Akapitzlist"/>
        <w:numPr>
          <w:ilvl w:val="0"/>
          <w:numId w:val="9"/>
        </w:numPr>
        <w:spacing w:after="0" w:line="276" w:lineRule="auto"/>
        <w:ind w:left="426"/>
        <w:jc w:val="both"/>
        <w:rPr>
          <w:rFonts w:ascii="Calibri" w:hAnsi="Calibri" w:cs="Calibri"/>
          <w:sz w:val="22"/>
          <w:szCs w:val="22"/>
        </w:rPr>
      </w:pPr>
      <w:r w:rsidRPr="00181931">
        <w:rPr>
          <w:rFonts w:ascii="Calibri" w:hAnsi="Calibri" w:cs="Calibri"/>
          <w:sz w:val="22"/>
          <w:szCs w:val="22"/>
        </w:rPr>
        <w:t>czy pakiet obejmuje dedykowanego kierownika projektu (dla najwyższego wariantu).</w:t>
      </w:r>
    </w:p>
    <w:p w14:paraId="42058495" w14:textId="77777777" w:rsidR="00AD13BC" w:rsidRPr="00181931" w:rsidRDefault="00000000">
      <w:pPr>
        <w:spacing w:after="0" w:line="276" w:lineRule="auto"/>
        <w:jc w:val="both"/>
        <w:rPr>
          <w:rFonts w:ascii="Calibri" w:hAnsi="Calibri" w:cs="Calibri"/>
          <w:sz w:val="22"/>
          <w:szCs w:val="22"/>
        </w:rPr>
      </w:pPr>
      <w:r w:rsidRPr="00181931">
        <w:rPr>
          <w:rFonts w:ascii="Calibri" w:hAnsi="Calibri" w:cs="Calibri"/>
          <w:sz w:val="22"/>
          <w:szCs w:val="22"/>
        </w:rPr>
        <w:t xml:space="preserve">Pakiety rozwojowe muszą obejmować możliwość realizacji zleceń rozwojowych i zmian konfiguracyjnych, obsługę zgłoszeń poprzez system </w:t>
      </w:r>
      <w:proofErr w:type="spellStart"/>
      <w:r w:rsidRPr="00181931">
        <w:rPr>
          <w:rFonts w:ascii="Calibri" w:hAnsi="Calibri" w:cs="Calibri"/>
          <w:sz w:val="22"/>
          <w:szCs w:val="22"/>
        </w:rPr>
        <w:t>ticketowy</w:t>
      </w:r>
      <w:proofErr w:type="spellEnd"/>
      <w:r w:rsidRPr="00181931">
        <w:rPr>
          <w:rFonts w:ascii="Calibri" w:hAnsi="Calibri" w:cs="Calibri"/>
          <w:sz w:val="22"/>
          <w:szCs w:val="22"/>
        </w:rPr>
        <w:t xml:space="preserve">, gwarantowany czas rozpoczęcia prac nad zgłoszonym </w:t>
      </w:r>
      <w:proofErr w:type="spellStart"/>
      <w:r w:rsidRPr="00181931">
        <w:rPr>
          <w:rFonts w:ascii="Calibri" w:hAnsi="Calibri" w:cs="Calibri"/>
          <w:sz w:val="22"/>
          <w:szCs w:val="22"/>
        </w:rPr>
        <w:t>ticketem</w:t>
      </w:r>
      <w:proofErr w:type="spellEnd"/>
      <w:r w:rsidRPr="00181931">
        <w:rPr>
          <w:rFonts w:ascii="Calibri" w:hAnsi="Calibri" w:cs="Calibri"/>
          <w:sz w:val="22"/>
          <w:szCs w:val="22"/>
        </w:rPr>
        <w:t xml:space="preserve"> oraz możliwość rozszerzenia pakietu w trakcie trwania umowy. Wykonawca musi określić, czy niewykorzystane godziny przechodzą na kolejny miesiąc oraz na jakich zasadach.</w:t>
      </w:r>
    </w:p>
    <w:p w14:paraId="68BC27BC" w14:textId="77777777" w:rsidR="00AD13BC" w:rsidRPr="00181931" w:rsidRDefault="00000000">
      <w:pPr>
        <w:spacing w:after="0" w:line="276" w:lineRule="auto"/>
        <w:jc w:val="both"/>
        <w:rPr>
          <w:rFonts w:ascii="Calibri" w:hAnsi="Calibri" w:cs="Calibri"/>
          <w:sz w:val="22"/>
          <w:szCs w:val="22"/>
        </w:rPr>
      </w:pPr>
      <w:r w:rsidRPr="00181931">
        <w:rPr>
          <w:rFonts w:ascii="Calibri" w:hAnsi="Calibri" w:cs="Calibri"/>
          <w:sz w:val="22"/>
          <w:szCs w:val="22"/>
        </w:rPr>
        <w:t>Wykonawca zobowiązany jest do przedstawienia stawki za godzinę pracy wykonywaną ponad limit pakietu w standardowych godzinach pracy oraz stawki za godzinę pracy wykonywaną poza standardowymi godzinami pracy, wraz z jednoznacznym określeniem, czy godziny dodatkowe mają gwarantowany czas rozpoczęcia prac, czy wymagają odrębnej akceptacji Zamawiającego oraz czy są rozliczane według stałej stawki przez cały okres obowiązywania umowy.</w:t>
      </w:r>
    </w:p>
    <w:p w14:paraId="51D52A2C" w14:textId="77777777" w:rsidR="00AD13BC" w:rsidRDefault="00AD13BC">
      <w:pPr>
        <w:pStyle w:val="Nagwek2"/>
        <w:spacing w:before="0" w:after="0" w:line="276" w:lineRule="auto"/>
        <w:jc w:val="both"/>
        <w:rPr>
          <w:rFonts w:ascii="Calibri" w:hAnsi="Calibri" w:cs="Calibri"/>
          <w:sz w:val="22"/>
          <w:szCs w:val="22"/>
        </w:rPr>
      </w:pPr>
    </w:p>
    <w:p w14:paraId="79BFC50E" w14:textId="77777777" w:rsidR="00AD13BC" w:rsidRDefault="00AD13BC">
      <w:pPr>
        <w:spacing w:after="0" w:line="276" w:lineRule="auto"/>
        <w:jc w:val="both"/>
        <w:rPr>
          <w:rFonts w:ascii="Calibri" w:hAnsi="Calibri" w:cs="Calibri"/>
          <w:sz w:val="22"/>
          <w:szCs w:val="22"/>
        </w:rPr>
      </w:pPr>
    </w:p>
    <w:sectPr w:rsidR="00AD13BC">
      <w:headerReference w:type="even" r:id="rId8"/>
      <w:headerReference w:type="default" r:id="rId9"/>
      <w:headerReference w:type="first" r:id="rId10"/>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6125B" w14:textId="77777777" w:rsidR="00044E6D" w:rsidRDefault="00044E6D">
      <w:pPr>
        <w:spacing w:after="0" w:line="240" w:lineRule="auto"/>
      </w:pPr>
      <w:r>
        <w:separator/>
      </w:r>
    </w:p>
  </w:endnote>
  <w:endnote w:type="continuationSeparator" w:id="0">
    <w:p w14:paraId="337D9338" w14:textId="77777777" w:rsidR="00044E6D" w:rsidRDefault="00044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0168" w14:textId="77777777" w:rsidR="00044E6D" w:rsidRDefault="00044E6D">
      <w:pPr>
        <w:spacing w:after="0" w:line="240" w:lineRule="auto"/>
      </w:pPr>
      <w:r>
        <w:separator/>
      </w:r>
    </w:p>
  </w:footnote>
  <w:footnote w:type="continuationSeparator" w:id="0">
    <w:p w14:paraId="4928430B" w14:textId="77777777" w:rsidR="00044E6D" w:rsidRDefault="00044E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B6C5" w14:textId="77777777" w:rsidR="00AD13BC" w:rsidRDefault="00AD13B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5020" w14:textId="77777777" w:rsidR="00AD13BC" w:rsidRDefault="00000000">
    <w:pPr>
      <w:pStyle w:val="Nagwek"/>
    </w:pPr>
    <w:r>
      <w:rPr>
        <w:noProof/>
      </w:rPr>
      <mc:AlternateContent>
        <mc:Choice Requires="wps">
          <w:drawing>
            <wp:inline distT="0" distB="0" distL="0" distR="0" wp14:anchorId="5BE8D73A" wp14:editId="0E95B2CD">
              <wp:extent cx="5759450" cy="623570"/>
              <wp:effectExtent l="0" t="0" r="0" b="5080"/>
              <wp:docPr id="1"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59280" cy="623520"/>
                      </a:xfrm>
                      <a:prstGeom prst="rect">
                        <a:avLst/>
                      </a:prstGeom>
                      <a:noFill/>
                      <a:ln w="0">
                        <a:noFill/>
                      </a:ln>
                      <a:effectLst>
                        <a:softEdge rad="112320"/>
                      </a:effectLst>
                    </pic:spPr>
                  </pic:pic>
                </a:graphicData>
              </a:graphic>
            </wp:inline>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pt;margin-top:-49.55pt;width:453.45pt;height:49.05pt;mso-wrap-style:none;v-text-anchor:middle;mso-position-vertical:top" wp14:anchorId="4652D64D" type="_x0000_t75">
              <v:imagedata r:id="rId2" o:detectmouseclick="t"/>
              <v:stroke color="#3465a4" joinstyle="round" endcap="flat"/>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5D80" w14:textId="77777777" w:rsidR="00AD13BC" w:rsidRDefault="00000000">
    <w:pPr>
      <w:pStyle w:val="Nagwek"/>
    </w:pPr>
    <w:r>
      <w:rPr>
        <w:noProof/>
      </w:rPr>
      <mc:AlternateContent>
        <mc:Choice Requires="wps">
          <w:drawing>
            <wp:inline distT="0" distB="0" distL="0" distR="0" wp14:anchorId="1FF91713" wp14:editId="31F6FB03">
              <wp:extent cx="5759450" cy="623570"/>
              <wp:effectExtent l="0" t="0" r="0" b="5080"/>
              <wp:docPr id="3"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4"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59280" cy="623520"/>
                      </a:xfrm>
                      <a:prstGeom prst="rect">
                        <a:avLst/>
                      </a:prstGeom>
                      <a:noFill/>
                      <a:ln w="0">
                        <a:noFill/>
                      </a:ln>
                      <a:effectLst>
                        <a:softEdge rad="112320"/>
                      </a:effectLst>
                    </pic:spPr>
                  </pic:pic>
                </a:graphicData>
              </a:graphic>
            </wp:inline>
          </w:drawing>
        </mc:Choice>
        <mc:Fallback xmlns:pic="http://schemas.openxmlformats.org/drawingml/2006/picture">
          <w:pict>
            <v:shape id="shape_0" stroked="f" o:allowincell="f" style="position:absolute;margin-left:0pt;margin-top:-49.55pt;width:453.45pt;height:49.05pt;mso-wrap-style:none;v-text-anchor:middle;mso-position-vertical:top" wp14:anchorId="4652D64D" type="_x0000_t75">
              <v:imagedata r:id="rId2" o:detectmouseclick="t"/>
              <v:stroke color="#3465a4" joinstyle="round" endcap="flat"/>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E7C08"/>
    <w:multiLevelType w:val="multilevel"/>
    <w:tmpl w:val="09740B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E72343C"/>
    <w:multiLevelType w:val="multilevel"/>
    <w:tmpl w:val="3A8EC6CC"/>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2" w15:restartNumberingAfterBreak="0">
    <w:nsid w:val="227F27AC"/>
    <w:multiLevelType w:val="multilevel"/>
    <w:tmpl w:val="5BA2CA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8575F0D"/>
    <w:multiLevelType w:val="multilevel"/>
    <w:tmpl w:val="155A8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BBA3B12"/>
    <w:multiLevelType w:val="multilevel"/>
    <w:tmpl w:val="A17A65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46A0DA9"/>
    <w:multiLevelType w:val="multilevel"/>
    <w:tmpl w:val="85C8EA7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B9150F6"/>
    <w:multiLevelType w:val="multilevel"/>
    <w:tmpl w:val="5560BB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5EE4D73"/>
    <w:multiLevelType w:val="multilevel"/>
    <w:tmpl w:val="EF66C3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5FC6729"/>
    <w:multiLevelType w:val="multilevel"/>
    <w:tmpl w:val="A05C5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3E64030"/>
    <w:multiLevelType w:val="multilevel"/>
    <w:tmpl w:val="5A8054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3A4B08"/>
    <w:multiLevelType w:val="multilevel"/>
    <w:tmpl w:val="91EA35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84C7722"/>
    <w:multiLevelType w:val="multilevel"/>
    <w:tmpl w:val="A05C5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EFF0B8B"/>
    <w:multiLevelType w:val="multilevel"/>
    <w:tmpl w:val="1D743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5604441">
    <w:abstractNumId w:val="3"/>
  </w:num>
  <w:num w:numId="2" w16cid:durableId="2121101898">
    <w:abstractNumId w:val="10"/>
  </w:num>
  <w:num w:numId="3" w16cid:durableId="1773671974">
    <w:abstractNumId w:val="2"/>
  </w:num>
  <w:num w:numId="4" w16cid:durableId="1165785748">
    <w:abstractNumId w:val="0"/>
  </w:num>
  <w:num w:numId="5" w16cid:durableId="642930119">
    <w:abstractNumId w:val="7"/>
  </w:num>
  <w:num w:numId="6" w16cid:durableId="56713624">
    <w:abstractNumId w:val="1"/>
  </w:num>
  <w:num w:numId="7" w16cid:durableId="334764243">
    <w:abstractNumId w:val="5"/>
  </w:num>
  <w:num w:numId="8" w16cid:durableId="554313004">
    <w:abstractNumId w:val="8"/>
  </w:num>
  <w:num w:numId="9" w16cid:durableId="1185560472">
    <w:abstractNumId w:val="4"/>
  </w:num>
  <w:num w:numId="10" w16cid:durableId="383603451">
    <w:abstractNumId w:val="6"/>
  </w:num>
  <w:num w:numId="11" w16cid:durableId="1961524264">
    <w:abstractNumId w:val="12"/>
  </w:num>
  <w:num w:numId="12" w16cid:durableId="831336980">
    <w:abstractNumId w:val="9"/>
  </w:num>
  <w:num w:numId="13" w16cid:durableId="3322248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BC"/>
    <w:rsid w:val="00044E6D"/>
    <w:rsid w:val="000B492D"/>
    <w:rsid w:val="00181931"/>
    <w:rsid w:val="002E2DB0"/>
    <w:rsid w:val="004771C9"/>
    <w:rsid w:val="006F4DD8"/>
    <w:rsid w:val="007B43B8"/>
    <w:rsid w:val="008236CD"/>
    <w:rsid w:val="00851412"/>
    <w:rsid w:val="008867DE"/>
    <w:rsid w:val="008C0BD0"/>
    <w:rsid w:val="00AC7F41"/>
    <w:rsid w:val="00AD13BC"/>
    <w:rsid w:val="00AF414A"/>
    <w:rsid w:val="00BD0A85"/>
    <w:rsid w:val="00CB5C8F"/>
    <w:rsid w:val="00D027F0"/>
    <w:rsid w:val="00EF212D"/>
    <w:rsid w:val="00FE57C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23463"/>
  <w15:docId w15:val="{995076C1-B967-4E3D-B9B1-E7021E1E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8" w:lineRule="auto"/>
    </w:pPr>
  </w:style>
  <w:style w:type="paragraph" w:styleId="Nagwek1">
    <w:name w:val="heading 1"/>
    <w:basedOn w:val="Normalny"/>
    <w:next w:val="Normalny"/>
    <w:link w:val="Nagwek1Znak"/>
    <w:uiPriority w:val="9"/>
    <w:qFormat/>
    <w:rsid w:val="007425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7425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74255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4255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4255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4255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4255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4255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4255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74255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qFormat/>
    <w:rsid w:val="0074255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qFormat/>
    <w:rsid w:val="0074255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74255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74255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7425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7425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7425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74255D"/>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74255D"/>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74255D"/>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74255D"/>
    <w:rPr>
      <w:i/>
      <w:iCs/>
      <w:color w:val="404040" w:themeColor="text1" w:themeTint="BF"/>
    </w:rPr>
  </w:style>
  <w:style w:type="character" w:styleId="Wyrnienieintensywne">
    <w:name w:val="Intense Emphasis"/>
    <w:basedOn w:val="Domylnaczcionkaakapitu"/>
    <w:uiPriority w:val="21"/>
    <w:qFormat/>
    <w:rsid w:val="0074255D"/>
    <w:rPr>
      <w:i/>
      <w:iCs/>
      <w:color w:val="0F4761" w:themeColor="accent1" w:themeShade="BF"/>
    </w:rPr>
  </w:style>
  <w:style w:type="character" w:customStyle="1" w:styleId="CytatintensywnyZnak">
    <w:name w:val="Cytat intensywny Znak"/>
    <w:basedOn w:val="Domylnaczcionkaakapitu"/>
    <w:link w:val="Cytatintensywny"/>
    <w:uiPriority w:val="30"/>
    <w:qFormat/>
    <w:rsid w:val="0074255D"/>
    <w:rPr>
      <w:i/>
      <w:iCs/>
      <w:color w:val="0F4761" w:themeColor="accent1" w:themeShade="BF"/>
    </w:rPr>
  </w:style>
  <w:style w:type="character" w:styleId="Odwoanieintensywne">
    <w:name w:val="Intense Reference"/>
    <w:basedOn w:val="Domylnaczcionkaakapitu"/>
    <w:uiPriority w:val="32"/>
    <w:qFormat/>
    <w:rsid w:val="0074255D"/>
    <w:rPr>
      <w:b/>
      <w:bCs/>
      <w:smallCaps/>
      <w:color w:val="0F4761" w:themeColor="accent1" w:themeShade="BF"/>
      <w:spacing w:val="5"/>
    </w:rPr>
  </w:style>
  <w:style w:type="character" w:styleId="Odwoaniedokomentarza">
    <w:name w:val="annotation reference"/>
    <w:basedOn w:val="Domylnaczcionkaakapitu"/>
    <w:uiPriority w:val="99"/>
    <w:semiHidden/>
    <w:unhideWhenUsed/>
    <w:qFormat/>
    <w:rsid w:val="00E31AE8"/>
    <w:rPr>
      <w:sz w:val="16"/>
      <w:szCs w:val="16"/>
    </w:rPr>
  </w:style>
  <w:style w:type="character" w:customStyle="1" w:styleId="TekstkomentarzaZnak">
    <w:name w:val="Tekst komentarza Znak"/>
    <w:basedOn w:val="Domylnaczcionkaakapitu"/>
    <w:link w:val="Tekstkomentarza"/>
    <w:uiPriority w:val="99"/>
    <w:semiHidden/>
    <w:qFormat/>
    <w:rsid w:val="00E31AE8"/>
    <w:rPr>
      <w:sz w:val="20"/>
      <w:szCs w:val="20"/>
    </w:rPr>
  </w:style>
  <w:style w:type="character" w:customStyle="1" w:styleId="TematkomentarzaZnak">
    <w:name w:val="Temat komentarza Znak"/>
    <w:basedOn w:val="TekstkomentarzaZnak"/>
    <w:link w:val="Tematkomentarza"/>
    <w:uiPriority w:val="99"/>
    <w:semiHidden/>
    <w:qFormat/>
    <w:rsid w:val="00E31AE8"/>
    <w:rPr>
      <w:b/>
      <w:bCs/>
      <w:sz w:val="20"/>
      <w:szCs w:val="20"/>
    </w:rPr>
  </w:style>
  <w:style w:type="character" w:customStyle="1" w:styleId="TekstdymkaZnak">
    <w:name w:val="Tekst dymka Znak"/>
    <w:basedOn w:val="Domylnaczcionkaakapitu"/>
    <w:link w:val="Tekstdymka"/>
    <w:uiPriority w:val="99"/>
    <w:semiHidden/>
    <w:qFormat/>
    <w:rsid w:val="00E31AE8"/>
    <w:rPr>
      <w:rFonts w:ascii="Segoe UI" w:hAnsi="Segoe UI" w:cs="Segoe UI"/>
      <w:sz w:val="18"/>
      <w:szCs w:val="18"/>
    </w:rPr>
  </w:style>
  <w:style w:type="character" w:customStyle="1" w:styleId="StopkaZnak">
    <w:name w:val="Stopka Znak"/>
    <w:basedOn w:val="Domylnaczcionkaakapitu"/>
    <w:link w:val="Stopka"/>
    <w:uiPriority w:val="99"/>
    <w:qFormat/>
    <w:rsid w:val="00400983"/>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styleId="Tytu">
    <w:name w:val="Title"/>
    <w:basedOn w:val="Normalny"/>
    <w:next w:val="Normalny"/>
    <w:link w:val="TytuZnak"/>
    <w:uiPriority w:val="10"/>
    <w:qFormat/>
    <w:rsid w:val="0074255D"/>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7425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4255D"/>
    <w:pPr>
      <w:spacing w:before="160"/>
      <w:jc w:val="center"/>
    </w:pPr>
    <w:rPr>
      <w:i/>
      <w:iCs/>
      <w:color w:val="404040" w:themeColor="text1" w:themeTint="BF"/>
    </w:rPr>
  </w:style>
  <w:style w:type="paragraph" w:styleId="Akapitzlist">
    <w:name w:val="List Paragraph"/>
    <w:basedOn w:val="Normalny"/>
    <w:uiPriority w:val="34"/>
    <w:qFormat/>
    <w:rsid w:val="0074255D"/>
    <w:pPr>
      <w:ind w:left="720"/>
      <w:contextualSpacing/>
    </w:pPr>
  </w:style>
  <w:style w:type="paragraph" w:styleId="Cytatintensywny">
    <w:name w:val="Intense Quote"/>
    <w:basedOn w:val="Normalny"/>
    <w:next w:val="Normalny"/>
    <w:link w:val="CytatintensywnyZnak"/>
    <w:uiPriority w:val="30"/>
    <w:qFormat/>
    <w:rsid w:val="007425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ekstkomentarza">
    <w:name w:val="annotation text"/>
    <w:basedOn w:val="Normalny"/>
    <w:link w:val="TekstkomentarzaZnak"/>
    <w:uiPriority w:val="99"/>
    <w:semiHidden/>
    <w:unhideWhenUsed/>
    <w:rsid w:val="00E31AE8"/>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E31AE8"/>
    <w:rPr>
      <w:b/>
      <w:bCs/>
    </w:rPr>
  </w:style>
  <w:style w:type="paragraph" w:styleId="Tekstdymka">
    <w:name w:val="Balloon Text"/>
    <w:basedOn w:val="Normalny"/>
    <w:link w:val="TekstdymkaZnak"/>
    <w:uiPriority w:val="99"/>
    <w:semiHidden/>
    <w:unhideWhenUsed/>
    <w:qFormat/>
    <w:rsid w:val="00E31AE8"/>
    <w:pPr>
      <w:spacing w:after="0" w:line="240" w:lineRule="auto"/>
    </w:pPr>
    <w:rPr>
      <w:rFonts w:ascii="Segoe UI" w:hAnsi="Segoe UI" w:cs="Segoe UI"/>
      <w:sz w:val="18"/>
      <w:szCs w:val="18"/>
    </w:rPr>
  </w:style>
  <w:style w:type="paragraph" w:customStyle="1" w:styleId="Komentarz">
    <w:name w:val="Komentarz"/>
    <w:basedOn w:val="Normalny"/>
    <w:qFormat/>
    <w:pPr>
      <w:spacing w:before="56" w:after="0" w:line="240" w:lineRule="auto"/>
      <w:ind w:left="57" w:right="57"/>
    </w:pPr>
    <w:rPr>
      <w:sz w:val="20"/>
      <w:szCs w:val="20"/>
    </w:rPr>
  </w:style>
  <w:style w:type="paragraph" w:styleId="Stopka">
    <w:name w:val="footer"/>
    <w:basedOn w:val="Normalny"/>
    <w:link w:val="StopkaZnak"/>
    <w:uiPriority w:val="99"/>
    <w:unhideWhenUsed/>
    <w:rsid w:val="00400983"/>
    <w:pPr>
      <w:tabs>
        <w:tab w:val="center" w:pos="4536"/>
        <w:tab w:val="right" w:pos="9072"/>
      </w:tabs>
      <w:spacing w:after="0" w:line="240" w:lineRule="auto"/>
    </w:pPr>
  </w:style>
  <w:style w:type="numbering" w:customStyle="1" w:styleId="Bezlisty1">
    <w:name w:val="Bez listy1"/>
    <w:uiPriority w:val="99"/>
    <w:semiHidden/>
    <w:unhideWhenUsed/>
    <w:qFormat/>
  </w:style>
  <w:style w:type="paragraph" w:styleId="Poprawka">
    <w:name w:val="Revision"/>
    <w:hidden/>
    <w:uiPriority w:val="99"/>
    <w:semiHidden/>
    <w:rsid w:val="008867DE"/>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1F621-B22A-4E39-8897-AF5666872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2652</Words>
  <Characters>15914</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Majkowski</dc:creator>
  <dc:description/>
  <cp:lastModifiedBy>Mariusz Jaros</cp:lastModifiedBy>
  <cp:revision>5</cp:revision>
  <dcterms:created xsi:type="dcterms:W3CDTF">2026-04-02T06:58:00Z</dcterms:created>
  <dcterms:modified xsi:type="dcterms:W3CDTF">2026-04-02T12:50:00Z</dcterms:modified>
  <dc:language>pl-PL</dc:language>
</cp:coreProperties>
</file>